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2CA4CD" w14:textId="079D6388" w:rsidR="005E4ACC" w:rsidRPr="007122FB" w:rsidRDefault="00E579DE" w:rsidP="00BB207F">
      <w:pPr>
        <w:jc w:val="center"/>
        <w:rPr>
          <w:rFonts w:ascii="Arial" w:hAnsi="Arial" w:cs="Arial"/>
          <w:b/>
          <w:sz w:val="28"/>
          <w:szCs w:val="28"/>
        </w:rPr>
      </w:pPr>
      <w:bookmarkStart w:id="0" w:name="_GoBack"/>
      <w:bookmarkEnd w:id="0"/>
      <w:r w:rsidRPr="00E579DE">
        <w:rPr>
          <w:rFonts w:ascii="Arial" w:hAnsi="Arial" w:cs="Arial"/>
          <w:b/>
          <w:sz w:val="28"/>
          <w:szCs w:val="28"/>
          <w:lang w:val="en-US"/>
        </w:rPr>
        <w:t>Enhancing ARD Mitigation by Application of Benign Tailings to Reduce the Permeability of Waste Rock Dumps</w:t>
      </w:r>
    </w:p>
    <w:p w14:paraId="6EBB43D5" w14:textId="77777777" w:rsidR="005E4ACC" w:rsidRPr="00FA278C" w:rsidRDefault="005E4ACC" w:rsidP="007E504C">
      <w:pPr>
        <w:jc w:val="center"/>
        <w:rPr>
          <w:sz w:val="28"/>
          <w:szCs w:val="28"/>
        </w:rPr>
      </w:pPr>
    </w:p>
    <w:p w14:paraId="2126383E" w14:textId="6FAFE3D6" w:rsidR="005E4ACC" w:rsidRPr="003603FE" w:rsidRDefault="00E579DE" w:rsidP="008B660F">
      <w:pPr>
        <w:jc w:val="center"/>
        <w:rPr>
          <w:rFonts w:asciiTheme="minorBidi" w:hAnsiTheme="minorBidi" w:cstheme="minorBidi"/>
          <w:sz w:val="28"/>
          <w:szCs w:val="28"/>
        </w:rPr>
      </w:pPr>
      <w:r w:rsidRPr="00E579DE">
        <w:rPr>
          <w:rFonts w:asciiTheme="minorBidi" w:hAnsiTheme="minorBidi" w:cstheme="minorBidi"/>
          <w:sz w:val="28"/>
          <w:szCs w:val="28"/>
          <w:lang w:val="en-US"/>
        </w:rPr>
        <w:t>Athanasios Kotsiopoulos and Susan T. L. Harrison</w:t>
      </w:r>
      <w:r>
        <w:rPr>
          <w:rFonts w:asciiTheme="minorBidi" w:hAnsiTheme="minorBidi" w:cstheme="minorBidi"/>
          <w:sz w:val="28"/>
          <w:szCs w:val="28"/>
          <w:vertAlign w:val="superscript"/>
        </w:rPr>
        <w:t>*</w:t>
      </w:r>
    </w:p>
    <w:p w14:paraId="524871B9" w14:textId="4D550758" w:rsidR="008B660F" w:rsidRPr="003603FE" w:rsidRDefault="00E579DE" w:rsidP="008B660F">
      <w:pPr>
        <w:pStyle w:val="Default"/>
        <w:jc w:val="center"/>
        <w:rPr>
          <w:rFonts w:asciiTheme="minorBidi" w:hAnsiTheme="minorBidi" w:cstheme="minorBidi"/>
          <w:sz w:val="22"/>
          <w:szCs w:val="22"/>
          <w:lang w:val="en-US"/>
        </w:rPr>
      </w:pPr>
      <w:r w:rsidRPr="00E579DE">
        <w:rPr>
          <w:rFonts w:asciiTheme="minorBidi" w:hAnsiTheme="minorBidi" w:cstheme="minorBidi"/>
          <w:sz w:val="22"/>
          <w:szCs w:val="22"/>
          <w:lang w:val="en-GB"/>
        </w:rPr>
        <w:t>Centre for Bioprocess Engineering Research (CeBER), Department of Chemical Engineering, University of Cape Town, Rondebosch 7701, South Africa</w:t>
      </w:r>
    </w:p>
    <w:p w14:paraId="403F9FD2" w14:textId="4A8D38EC" w:rsidR="005E4ACC" w:rsidRPr="003603FE" w:rsidRDefault="008B660F" w:rsidP="008B660F">
      <w:pPr>
        <w:jc w:val="center"/>
        <w:rPr>
          <w:rFonts w:asciiTheme="minorBidi" w:hAnsiTheme="minorBidi" w:cstheme="minorBidi"/>
          <w:sz w:val="22"/>
          <w:szCs w:val="22"/>
        </w:rPr>
      </w:pPr>
      <w:r w:rsidRPr="009860C5">
        <w:rPr>
          <w:rFonts w:asciiTheme="minorBidi" w:hAnsiTheme="minorBidi" w:cstheme="minorBidi"/>
          <w:sz w:val="22"/>
          <w:szCs w:val="22"/>
        </w:rPr>
        <w:t xml:space="preserve">*correspondence: </w:t>
      </w:r>
      <w:r w:rsidR="00E579DE" w:rsidRPr="009860C5">
        <w:rPr>
          <w:rFonts w:asciiTheme="minorBidi" w:hAnsiTheme="minorBidi" w:cstheme="minorBidi"/>
          <w:sz w:val="22"/>
          <w:szCs w:val="22"/>
        </w:rPr>
        <w:t>Sue.Harrison@uct.ac.za</w:t>
      </w:r>
      <w:r w:rsidRPr="009860C5">
        <w:rPr>
          <w:rFonts w:asciiTheme="minorBidi" w:hAnsiTheme="minorBidi" w:cstheme="minorBidi"/>
          <w:sz w:val="22"/>
          <w:szCs w:val="22"/>
        </w:rPr>
        <w:t>, +</w:t>
      </w:r>
      <w:r w:rsidR="00E579DE" w:rsidRPr="009860C5">
        <w:rPr>
          <w:rFonts w:asciiTheme="minorBidi" w:hAnsiTheme="minorBidi" w:cstheme="minorBidi"/>
          <w:sz w:val="22"/>
          <w:szCs w:val="22"/>
        </w:rPr>
        <w:t>27-</w:t>
      </w:r>
      <w:r w:rsidRPr="009860C5">
        <w:rPr>
          <w:rFonts w:asciiTheme="minorBidi" w:hAnsiTheme="minorBidi" w:cstheme="minorBidi"/>
          <w:sz w:val="22"/>
          <w:szCs w:val="22"/>
        </w:rPr>
        <w:t>(0)</w:t>
      </w:r>
      <w:r w:rsidR="00E579DE" w:rsidRPr="009860C5">
        <w:rPr>
          <w:rFonts w:asciiTheme="minorBidi" w:hAnsiTheme="minorBidi" w:cstheme="minorBidi"/>
          <w:sz w:val="22"/>
          <w:szCs w:val="22"/>
        </w:rPr>
        <w:t>21-650</w:t>
      </w:r>
      <w:r w:rsidRPr="009860C5">
        <w:rPr>
          <w:rFonts w:asciiTheme="minorBidi" w:hAnsiTheme="minorBidi" w:cstheme="minorBidi"/>
          <w:sz w:val="22"/>
          <w:szCs w:val="22"/>
        </w:rPr>
        <w:t>-</w:t>
      </w:r>
      <w:r w:rsidR="00B3129C" w:rsidRPr="009860C5">
        <w:rPr>
          <w:rFonts w:asciiTheme="minorBidi" w:hAnsiTheme="minorBidi" w:cstheme="minorBidi"/>
          <w:sz w:val="22"/>
          <w:szCs w:val="22"/>
        </w:rPr>
        <w:t>5501</w:t>
      </w:r>
    </w:p>
    <w:p w14:paraId="63E31E6B" w14:textId="77777777" w:rsidR="005E4ACC" w:rsidRPr="003603FE" w:rsidRDefault="005E4ACC" w:rsidP="008B660F">
      <w:pPr>
        <w:rPr>
          <w:rFonts w:asciiTheme="minorBidi" w:hAnsiTheme="minorBidi" w:cstheme="minorBidi"/>
          <w:sz w:val="22"/>
          <w:szCs w:val="22"/>
        </w:rPr>
      </w:pPr>
    </w:p>
    <w:p w14:paraId="1B12D4A0" w14:textId="3B4F5300" w:rsidR="005E4ACC" w:rsidRDefault="005E4ACC" w:rsidP="003603FE">
      <w:pPr>
        <w:rPr>
          <w:rFonts w:asciiTheme="minorBidi" w:hAnsiTheme="minorBidi" w:cstheme="minorBidi"/>
          <w:sz w:val="22"/>
          <w:szCs w:val="22"/>
        </w:rPr>
      </w:pPr>
      <w:r w:rsidRPr="003603FE">
        <w:rPr>
          <w:rFonts w:asciiTheme="minorBidi" w:hAnsiTheme="minorBidi" w:cstheme="minorBidi"/>
          <w:b/>
          <w:sz w:val="22"/>
          <w:szCs w:val="22"/>
        </w:rPr>
        <w:t>Keywords:</w:t>
      </w:r>
      <w:r w:rsidRPr="003603FE">
        <w:rPr>
          <w:rFonts w:asciiTheme="minorBidi" w:hAnsiTheme="minorBidi" w:cstheme="minorBidi"/>
          <w:sz w:val="22"/>
          <w:szCs w:val="22"/>
        </w:rPr>
        <w:t xml:space="preserve"> </w:t>
      </w:r>
      <w:r w:rsidR="003603FE" w:rsidRPr="00315709">
        <w:rPr>
          <w:rFonts w:asciiTheme="minorBidi" w:hAnsiTheme="minorBidi" w:cstheme="minorBidi"/>
          <w:sz w:val="22"/>
          <w:szCs w:val="22"/>
        </w:rPr>
        <w:t>A</w:t>
      </w:r>
      <w:r w:rsidR="00315709" w:rsidRPr="00315709">
        <w:rPr>
          <w:rFonts w:asciiTheme="minorBidi" w:hAnsiTheme="minorBidi" w:cstheme="minorBidi"/>
          <w:sz w:val="22"/>
          <w:szCs w:val="22"/>
        </w:rPr>
        <w:t>cid Rock Drainage</w:t>
      </w:r>
      <w:r w:rsidR="00315709">
        <w:rPr>
          <w:rFonts w:asciiTheme="minorBidi" w:hAnsiTheme="minorBidi" w:cstheme="minorBidi"/>
          <w:sz w:val="22"/>
          <w:szCs w:val="22"/>
        </w:rPr>
        <w:t>, permeability</w:t>
      </w:r>
      <w:r w:rsidR="003603FE">
        <w:rPr>
          <w:rFonts w:asciiTheme="minorBidi" w:hAnsiTheme="minorBidi" w:cstheme="minorBidi"/>
          <w:sz w:val="22"/>
          <w:szCs w:val="22"/>
        </w:rPr>
        <w:t xml:space="preserve">, </w:t>
      </w:r>
      <w:r w:rsidR="00315709">
        <w:rPr>
          <w:rFonts w:asciiTheme="minorBidi" w:hAnsiTheme="minorBidi" w:cstheme="minorBidi"/>
          <w:iCs/>
          <w:sz w:val="22"/>
          <w:szCs w:val="22"/>
        </w:rPr>
        <w:t>benign tailings</w:t>
      </w:r>
      <w:r w:rsidR="003603FE">
        <w:rPr>
          <w:rFonts w:asciiTheme="minorBidi" w:hAnsiTheme="minorBidi" w:cstheme="minorBidi"/>
          <w:i/>
          <w:sz w:val="22"/>
          <w:szCs w:val="22"/>
        </w:rPr>
        <w:t>,</w:t>
      </w:r>
      <w:r w:rsidR="003603FE" w:rsidRPr="003603FE">
        <w:rPr>
          <w:rFonts w:asciiTheme="minorBidi" w:hAnsiTheme="minorBidi" w:cstheme="minorBidi"/>
          <w:sz w:val="22"/>
          <w:szCs w:val="22"/>
        </w:rPr>
        <w:t xml:space="preserve"> </w:t>
      </w:r>
      <w:r w:rsidR="00315709">
        <w:rPr>
          <w:rFonts w:asciiTheme="minorBidi" w:hAnsiTheme="minorBidi" w:cstheme="minorBidi"/>
          <w:sz w:val="22"/>
          <w:szCs w:val="22"/>
        </w:rPr>
        <w:t>waste rock dumps</w:t>
      </w:r>
      <w:r w:rsidRPr="003603FE">
        <w:rPr>
          <w:rFonts w:asciiTheme="minorBidi" w:hAnsiTheme="minorBidi" w:cstheme="minorBidi"/>
          <w:sz w:val="22"/>
          <w:szCs w:val="22"/>
        </w:rPr>
        <w:t xml:space="preserve"> </w:t>
      </w:r>
    </w:p>
    <w:p w14:paraId="3C73CB3A" w14:textId="77777777" w:rsidR="003603FE" w:rsidRPr="00FA278C" w:rsidRDefault="003603FE" w:rsidP="003603FE">
      <w:pPr>
        <w:rPr>
          <w:sz w:val="22"/>
          <w:szCs w:val="22"/>
        </w:rPr>
      </w:pPr>
    </w:p>
    <w:p w14:paraId="41484663" w14:textId="2E21AD34" w:rsidR="005E4ACC" w:rsidRPr="00EB6654" w:rsidRDefault="005E4ACC" w:rsidP="002F6384">
      <w:pPr>
        <w:jc w:val="both"/>
      </w:pPr>
      <w:r w:rsidRPr="00FA278C">
        <w:rPr>
          <w:b/>
        </w:rPr>
        <w:t>Abstract.</w:t>
      </w:r>
      <w:r w:rsidRPr="00FA278C">
        <w:t xml:space="preserve"> </w:t>
      </w:r>
      <w:r w:rsidR="00EB6654" w:rsidRPr="00EB6654">
        <w:rPr>
          <w:iCs/>
          <w:lang w:val="en-US"/>
        </w:rPr>
        <w:t xml:space="preserve">ARD mitigation is considered by reducing the permeability of acid-generating coal </w:t>
      </w:r>
      <w:r w:rsidR="008E50EE">
        <w:rPr>
          <w:iCs/>
          <w:lang w:val="en-US"/>
        </w:rPr>
        <w:t xml:space="preserve">interburden </w:t>
      </w:r>
      <w:r w:rsidR="00EB6654" w:rsidRPr="00EB6654">
        <w:rPr>
          <w:iCs/>
          <w:lang w:val="en-US"/>
        </w:rPr>
        <w:t>waste rock dumps. Fine de</w:t>
      </w:r>
      <w:r w:rsidR="00540628">
        <w:rPr>
          <w:iCs/>
          <w:lang w:val="en-US"/>
        </w:rPr>
        <w:t>sulf</w:t>
      </w:r>
      <w:r w:rsidR="00EB6654" w:rsidRPr="00EB6654">
        <w:rPr>
          <w:iCs/>
          <w:lang w:val="en-US"/>
        </w:rPr>
        <w:t>urised benign tailings were used to conceal exposed surface active sites from air</w:t>
      </w:r>
      <w:r w:rsidR="00EB6654">
        <w:rPr>
          <w:iCs/>
          <w:lang w:val="en-US"/>
        </w:rPr>
        <w:t>,</w:t>
      </w:r>
      <w:r w:rsidR="00EB6654" w:rsidRPr="00EB6654">
        <w:rPr>
          <w:iCs/>
          <w:lang w:val="en-US"/>
        </w:rPr>
        <w:t xml:space="preserve"> water and </w:t>
      </w:r>
      <w:r w:rsidR="00EB6654">
        <w:rPr>
          <w:iCs/>
          <w:lang w:val="en-US"/>
        </w:rPr>
        <w:t xml:space="preserve">more aggressive </w:t>
      </w:r>
      <w:r w:rsidR="00540628">
        <w:rPr>
          <w:iCs/>
          <w:lang w:val="en-US"/>
        </w:rPr>
        <w:t>sulf</w:t>
      </w:r>
      <w:r w:rsidR="00EB6654" w:rsidRPr="00EB6654">
        <w:rPr>
          <w:iCs/>
          <w:lang w:val="en-US"/>
        </w:rPr>
        <w:t>ur- and iron-oxidizing microorganisms</w:t>
      </w:r>
      <w:r w:rsidR="00EB6654">
        <w:rPr>
          <w:iCs/>
          <w:lang w:val="en-US"/>
        </w:rPr>
        <w:t xml:space="preserve"> in acidic environments</w:t>
      </w:r>
      <w:r w:rsidR="00EB6654" w:rsidRPr="00EB6654">
        <w:rPr>
          <w:iCs/>
          <w:lang w:val="en-US"/>
        </w:rPr>
        <w:t xml:space="preserve">. </w:t>
      </w:r>
      <w:r w:rsidR="004B5C1C">
        <w:rPr>
          <w:iCs/>
          <w:lang w:val="en-US"/>
        </w:rPr>
        <w:t xml:space="preserve">Test columns containing </w:t>
      </w:r>
      <w:r w:rsidR="004B78DA">
        <w:rPr>
          <w:iCs/>
          <w:lang w:val="en-US"/>
        </w:rPr>
        <w:t xml:space="preserve">interburden </w:t>
      </w:r>
      <w:r w:rsidR="004B5C1C">
        <w:rPr>
          <w:iCs/>
          <w:lang w:val="en-US"/>
        </w:rPr>
        <w:t xml:space="preserve">waste rock </w:t>
      </w:r>
      <w:r w:rsidR="004B78DA">
        <w:rPr>
          <w:iCs/>
          <w:lang w:val="en-US"/>
        </w:rPr>
        <w:t xml:space="preserve">co-disposed </w:t>
      </w:r>
      <w:r w:rsidR="004B5C1C">
        <w:rPr>
          <w:iCs/>
          <w:lang w:val="en-US"/>
        </w:rPr>
        <w:t xml:space="preserve">with benign tailings were configured as either alternating layered </w:t>
      </w:r>
      <w:r w:rsidR="00EB6654" w:rsidRPr="00EB6654">
        <w:rPr>
          <w:iCs/>
          <w:lang w:val="en-US"/>
        </w:rPr>
        <w:t xml:space="preserve">covers </w:t>
      </w:r>
      <w:r w:rsidR="004B5C1C">
        <w:rPr>
          <w:iCs/>
          <w:lang w:val="en-US"/>
        </w:rPr>
        <w:t>or as</w:t>
      </w:r>
      <w:r w:rsidR="00EB6654" w:rsidRPr="00EB6654">
        <w:rPr>
          <w:iCs/>
          <w:lang w:val="en-US"/>
        </w:rPr>
        <w:t xml:space="preserve"> a blended mixture</w:t>
      </w:r>
      <w:r w:rsidR="004B5C1C">
        <w:rPr>
          <w:iCs/>
          <w:lang w:val="en-US"/>
        </w:rPr>
        <w:t xml:space="preserve"> of tailings </w:t>
      </w:r>
      <w:r w:rsidR="00CC55F7">
        <w:rPr>
          <w:iCs/>
          <w:lang w:val="en-US"/>
        </w:rPr>
        <w:t>and</w:t>
      </w:r>
      <w:r w:rsidR="004B5C1C">
        <w:rPr>
          <w:iCs/>
          <w:lang w:val="en-US"/>
        </w:rPr>
        <w:t xml:space="preserve"> discards</w:t>
      </w:r>
      <w:r w:rsidR="00EB6654" w:rsidRPr="00EB6654">
        <w:rPr>
          <w:iCs/>
          <w:lang w:val="en-US"/>
        </w:rPr>
        <w:t xml:space="preserve">. Demonstration of the efficacy of the procedure was assessed by analyzing effluent solution concentrations of </w:t>
      </w:r>
      <w:r w:rsidR="004B5C1C">
        <w:rPr>
          <w:iCs/>
          <w:lang w:val="en-US"/>
        </w:rPr>
        <w:t xml:space="preserve">the </w:t>
      </w:r>
      <w:r w:rsidR="00EB6654" w:rsidRPr="00EB6654">
        <w:rPr>
          <w:iCs/>
          <w:lang w:val="en-US"/>
        </w:rPr>
        <w:t xml:space="preserve">concurrently operated simulated ore beds </w:t>
      </w:r>
      <w:r w:rsidR="004B78DA">
        <w:rPr>
          <w:iCs/>
          <w:lang w:val="en-US"/>
        </w:rPr>
        <w:t>following inoculation with micro-organisms implicated in bioleaching (biotic mode) or in the absence of inoculation</w:t>
      </w:r>
      <w:r w:rsidR="00EB6654" w:rsidRPr="00EB6654">
        <w:rPr>
          <w:iCs/>
          <w:lang w:val="en-US"/>
        </w:rPr>
        <w:t xml:space="preserve"> </w:t>
      </w:r>
      <w:r w:rsidR="004B78DA">
        <w:rPr>
          <w:iCs/>
          <w:lang w:val="en-US"/>
        </w:rPr>
        <w:t>(</w:t>
      </w:r>
      <w:r w:rsidR="00EB6654" w:rsidRPr="00EB6654">
        <w:rPr>
          <w:iCs/>
          <w:lang w:val="en-US"/>
        </w:rPr>
        <w:t>abiotic mode</w:t>
      </w:r>
      <w:r w:rsidR="004B78DA">
        <w:rPr>
          <w:iCs/>
          <w:lang w:val="en-US"/>
        </w:rPr>
        <w:t>)</w:t>
      </w:r>
      <w:r w:rsidR="00EB6654" w:rsidRPr="00EB6654">
        <w:rPr>
          <w:iCs/>
          <w:lang w:val="en-US"/>
        </w:rPr>
        <w:t xml:space="preserve">. The </w:t>
      </w:r>
      <w:r w:rsidR="004B78DA">
        <w:rPr>
          <w:iCs/>
          <w:lang w:val="en-US"/>
        </w:rPr>
        <w:t>presence of fine tailings both</w:t>
      </w:r>
      <w:r w:rsidR="00EB6654" w:rsidRPr="00EB6654">
        <w:rPr>
          <w:iCs/>
          <w:lang w:val="en-US"/>
        </w:rPr>
        <w:t xml:space="preserve"> minimized the infiltration of oxidants to the porous ore and void space within the packed bed</w:t>
      </w:r>
      <w:r w:rsidR="004B78DA">
        <w:rPr>
          <w:iCs/>
          <w:lang w:val="en-US"/>
        </w:rPr>
        <w:t xml:space="preserve"> and provided neutralisation</w:t>
      </w:r>
      <w:r w:rsidR="00825491">
        <w:rPr>
          <w:iCs/>
          <w:lang w:val="en-US"/>
        </w:rPr>
        <w:t xml:space="preserve">. In biotic mode, tests </w:t>
      </w:r>
      <w:r w:rsidR="007B0C39">
        <w:rPr>
          <w:iCs/>
          <w:lang w:val="en-US"/>
        </w:rPr>
        <w:t>with layered covers of</w:t>
      </w:r>
      <w:r w:rsidR="00825491">
        <w:rPr>
          <w:iCs/>
          <w:lang w:val="en-US"/>
        </w:rPr>
        <w:t xml:space="preserve"> </w:t>
      </w:r>
      <w:r w:rsidR="00540628">
        <w:rPr>
          <w:iCs/>
          <w:lang w:val="en-US"/>
        </w:rPr>
        <w:t>desulfurised</w:t>
      </w:r>
      <w:r w:rsidR="00825491">
        <w:rPr>
          <w:iCs/>
          <w:lang w:val="en-US"/>
        </w:rPr>
        <w:t xml:space="preserve"> tailings w</w:t>
      </w:r>
      <w:r w:rsidR="004B78DA">
        <w:rPr>
          <w:iCs/>
          <w:lang w:val="en-US"/>
        </w:rPr>
        <w:t>ere</w:t>
      </w:r>
      <w:r w:rsidR="00825491">
        <w:rPr>
          <w:iCs/>
          <w:lang w:val="en-US"/>
        </w:rPr>
        <w:t xml:space="preserve"> less successful at limiting microbial </w:t>
      </w:r>
      <w:r w:rsidR="004B78DA">
        <w:rPr>
          <w:iCs/>
          <w:lang w:val="en-US"/>
        </w:rPr>
        <w:t xml:space="preserve">activity </w:t>
      </w:r>
      <w:r w:rsidR="007B0C39">
        <w:rPr>
          <w:iCs/>
          <w:lang w:val="en-US"/>
        </w:rPr>
        <w:t>and associated</w:t>
      </w:r>
      <w:r w:rsidR="00825491">
        <w:rPr>
          <w:iCs/>
          <w:lang w:val="en-US"/>
        </w:rPr>
        <w:t xml:space="preserve"> accelerated oxidation reactions</w:t>
      </w:r>
      <w:r w:rsidR="00EB6654" w:rsidRPr="00EB6654">
        <w:rPr>
          <w:iCs/>
          <w:lang w:val="en-US"/>
        </w:rPr>
        <w:t xml:space="preserve">. </w:t>
      </w:r>
      <w:r w:rsidR="00825491">
        <w:rPr>
          <w:iCs/>
          <w:lang w:val="en-US"/>
        </w:rPr>
        <w:t>Blended columns</w:t>
      </w:r>
      <w:r w:rsidR="00EB6654" w:rsidRPr="00EB6654">
        <w:rPr>
          <w:iCs/>
          <w:lang w:val="en-US"/>
        </w:rPr>
        <w:t xml:space="preserve"> resulted in reduc</w:t>
      </w:r>
      <w:r w:rsidR="007B0C39">
        <w:rPr>
          <w:iCs/>
          <w:lang w:val="en-US"/>
        </w:rPr>
        <w:t>ed</w:t>
      </w:r>
      <w:r w:rsidR="00EB6654" w:rsidRPr="00EB6654">
        <w:rPr>
          <w:iCs/>
          <w:lang w:val="en-US"/>
        </w:rPr>
        <w:t xml:space="preserve"> leaching reactions and an increase in the mean residence time</w:t>
      </w:r>
      <w:r w:rsidR="00825491">
        <w:rPr>
          <w:iCs/>
          <w:lang w:val="en-US"/>
        </w:rPr>
        <w:t xml:space="preserve"> of the solution phase</w:t>
      </w:r>
      <w:r w:rsidR="00EB6654" w:rsidRPr="00EB6654">
        <w:rPr>
          <w:iCs/>
          <w:lang w:val="en-US"/>
        </w:rPr>
        <w:t>. By increasing the solution residence time, an aqueou</w:t>
      </w:r>
      <w:r w:rsidR="005C1C6E">
        <w:rPr>
          <w:iCs/>
          <w:lang w:val="en-US"/>
        </w:rPr>
        <w:t>s cover was concurrently formed,</w:t>
      </w:r>
      <w:r w:rsidR="00EB6654" w:rsidRPr="00EB6654">
        <w:rPr>
          <w:iCs/>
          <w:lang w:val="en-US"/>
        </w:rPr>
        <w:t xml:space="preserve"> evolving into a bifunctional mitigating measure</w:t>
      </w:r>
      <w:r w:rsidR="00D375F0" w:rsidRPr="00EB6654">
        <w:t xml:space="preserve"> </w:t>
      </w:r>
    </w:p>
    <w:p w14:paraId="0CC12766" w14:textId="77777777" w:rsidR="004A3AE6" w:rsidRPr="00FA278C" w:rsidRDefault="004A3AE6" w:rsidP="004A3AE6">
      <w:pPr>
        <w:jc w:val="both"/>
      </w:pPr>
    </w:p>
    <w:p w14:paraId="691128F4" w14:textId="77777777" w:rsidR="005E4ACC" w:rsidRDefault="005E4ACC" w:rsidP="007E504C">
      <w:pPr>
        <w:rPr>
          <w:b/>
        </w:rPr>
      </w:pPr>
      <w:r w:rsidRPr="00FA278C">
        <w:rPr>
          <w:b/>
        </w:rPr>
        <w:t>Introduction</w:t>
      </w:r>
    </w:p>
    <w:p w14:paraId="525CFB9F" w14:textId="77777777" w:rsidR="00F56CFC" w:rsidRDefault="00F56CFC" w:rsidP="007E504C">
      <w:pPr>
        <w:rPr>
          <w:b/>
        </w:rPr>
      </w:pPr>
    </w:p>
    <w:p w14:paraId="1E6170AB" w14:textId="64E2FFA8" w:rsidR="005F6609" w:rsidRDefault="002B59D9" w:rsidP="00FE2011">
      <w:pPr>
        <w:jc w:val="both"/>
        <w:rPr>
          <w:lang w:val="en-US"/>
        </w:rPr>
      </w:pPr>
      <w:r>
        <w:rPr>
          <w:lang w:val="en-US"/>
        </w:rPr>
        <w:t xml:space="preserve">Contrary to </w:t>
      </w:r>
      <w:r w:rsidR="00DD370F" w:rsidRPr="00DD370F">
        <w:rPr>
          <w:lang w:val="en-US"/>
        </w:rPr>
        <w:t xml:space="preserve">leaching, ARD mitigation is achieved by inhibiting the oxidation of the </w:t>
      </w:r>
      <w:r w:rsidR="00315709">
        <w:rPr>
          <w:lang w:val="en-US"/>
        </w:rPr>
        <w:t>sulf</w:t>
      </w:r>
      <w:r w:rsidR="00DD370F" w:rsidRPr="00DD370F">
        <w:rPr>
          <w:lang w:val="en-US"/>
        </w:rPr>
        <w:t>ide minerals</w:t>
      </w:r>
      <w:r w:rsidR="002F6589">
        <w:rPr>
          <w:lang w:val="en-US"/>
        </w:rPr>
        <w:t xml:space="preserve"> to alleviate </w:t>
      </w:r>
      <w:r w:rsidR="00E44C42">
        <w:rPr>
          <w:lang w:val="en-US"/>
        </w:rPr>
        <w:t xml:space="preserve">the generation of </w:t>
      </w:r>
      <w:r w:rsidR="002F6589" w:rsidRPr="002E1EC2">
        <w:rPr>
          <w:lang w:val="en-US"/>
        </w:rPr>
        <w:t xml:space="preserve">highly toxic </w:t>
      </w:r>
      <w:r w:rsidR="00E44C42">
        <w:rPr>
          <w:lang w:val="en-US"/>
        </w:rPr>
        <w:t xml:space="preserve">acidic </w:t>
      </w:r>
      <w:r w:rsidR="002F6589" w:rsidRPr="002E1EC2">
        <w:rPr>
          <w:lang w:val="en-US"/>
        </w:rPr>
        <w:t>runoff</w:t>
      </w:r>
      <w:r w:rsidR="00E44C42">
        <w:rPr>
          <w:lang w:val="en-US"/>
        </w:rPr>
        <w:t>, rich in sulphate and deported metals,</w:t>
      </w:r>
      <w:r w:rsidR="002F6589" w:rsidRPr="002E1EC2">
        <w:rPr>
          <w:lang w:val="en-US"/>
        </w:rPr>
        <w:t xml:space="preserve"> </w:t>
      </w:r>
      <w:r w:rsidR="002F6589">
        <w:rPr>
          <w:lang w:val="en-US"/>
        </w:rPr>
        <w:t>that may</w:t>
      </w:r>
      <w:r w:rsidR="002F6589" w:rsidRPr="002E1EC2">
        <w:rPr>
          <w:lang w:val="en-US"/>
        </w:rPr>
        <w:t xml:space="preserve"> last decades and possibly centuries</w:t>
      </w:r>
      <w:r w:rsidR="006C3A0E">
        <w:rPr>
          <w:lang w:val="en-US"/>
        </w:rPr>
        <w:t>,</w:t>
      </w:r>
      <w:r w:rsidR="002F6589" w:rsidRPr="002E1EC2">
        <w:rPr>
          <w:lang w:val="en-US"/>
        </w:rPr>
        <w:t xml:space="preserve"> requiring prolonged treatment operations and associated costs</w:t>
      </w:r>
      <w:r>
        <w:rPr>
          <w:lang w:val="en-US"/>
        </w:rPr>
        <w:t xml:space="preserve">. </w:t>
      </w:r>
      <w:r w:rsidR="006C3A0E">
        <w:rPr>
          <w:lang w:val="en-US"/>
        </w:rPr>
        <w:t>Prevention</w:t>
      </w:r>
      <w:r w:rsidR="00F00777">
        <w:rPr>
          <w:lang w:val="en-US"/>
        </w:rPr>
        <w:t xml:space="preserve"> may be achieved by reducing the permeability</w:t>
      </w:r>
      <w:r w:rsidR="00C2018C">
        <w:rPr>
          <w:lang w:val="en-US"/>
        </w:rPr>
        <w:t>, and hen</w:t>
      </w:r>
      <w:r w:rsidR="005C1C6E">
        <w:rPr>
          <w:lang w:val="en-US"/>
        </w:rPr>
        <w:t xml:space="preserve">ce the exposed surface area, </w:t>
      </w:r>
      <w:r w:rsidR="00F00777">
        <w:rPr>
          <w:lang w:val="en-US"/>
        </w:rPr>
        <w:t xml:space="preserve">of </w:t>
      </w:r>
      <w:r w:rsidR="005C1C6E">
        <w:rPr>
          <w:lang w:val="en-US"/>
        </w:rPr>
        <w:t xml:space="preserve">the </w:t>
      </w:r>
      <w:r w:rsidR="00F00777">
        <w:rPr>
          <w:lang w:val="en-US"/>
        </w:rPr>
        <w:t xml:space="preserve">acid-generating waste rock dumps to the elements. </w:t>
      </w:r>
      <w:r w:rsidR="005F6609">
        <w:rPr>
          <w:lang w:val="en-US"/>
        </w:rPr>
        <w:t xml:space="preserve">Several methods have been proposed that include the use of coatings, covers and cemented paste backfills. </w:t>
      </w:r>
      <w:r w:rsidR="00A0367F">
        <w:rPr>
          <w:lang w:val="en-US"/>
        </w:rPr>
        <w:t>C</w:t>
      </w:r>
      <w:r w:rsidR="006C3A0E">
        <w:rPr>
          <w:lang w:val="en-US"/>
        </w:rPr>
        <w:t>oatings form</w:t>
      </w:r>
      <w:r w:rsidR="00FE2011">
        <w:rPr>
          <w:lang w:val="en-US"/>
        </w:rPr>
        <w:t>, often</w:t>
      </w:r>
      <w:r w:rsidR="006C3A0E">
        <w:rPr>
          <w:lang w:val="en-US"/>
        </w:rPr>
        <w:t xml:space="preserve"> a</w:t>
      </w:r>
      <w:r w:rsidR="00FE2011">
        <w:rPr>
          <w:lang w:val="en-US"/>
        </w:rPr>
        <w:t>cid-sensitive,</w:t>
      </w:r>
      <w:r w:rsidR="006C3A0E">
        <w:rPr>
          <w:lang w:val="en-US"/>
        </w:rPr>
        <w:t xml:space="preserve"> film</w:t>
      </w:r>
      <w:r w:rsidR="00FE2011">
        <w:rPr>
          <w:lang w:val="en-US"/>
        </w:rPr>
        <w:t>s</w:t>
      </w:r>
      <w:r w:rsidR="006C3A0E">
        <w:rPr>
          <w:lang w:val="en-US"/>
        </w:rPr>
        <w:t xml:space="preserve"> or </w:t>
      </w:r>
      <w:r w:rsidR="005F6609">
        <w:rPr>
          <w:lang w:val="en-US"/>
        </w:rPr>
        <w:t>precipitates that</w:t>
      </w:r>
      <w:r w:rsidR="0017651F">
        <w:rPr>
          <w:lang w:val="en-US"/>
        </w:rPr>
        <w:t xml:space="preserve"> </w:t>
      </w:r>
      <w:r w:rsidR="005F6609">
        <w:rPr>
          <w:lang w:val="en-US"/>
        </w:rPr>
        <w:t>surround the ore surface</w:t>
      </w:r>
      <w:r w:rsidR="0017651F">
        <w:rPr>
          <w:lang w:val="en-US"/>
        </w:rPr>
        <w:t xml:space="preserve"> forming a passivating layer </w:t>
      </w:r>
      <w:r w:rsidR="00E44C42">
        <w:rPr>
          <w:lang w:val="en-US"/>
        </w:rPr>
        <w:t xml:space="preserve">to </w:t>
      </w:r>
      <w:r w:rsidR="0017651F">
        <w:rPr>
          <w:lang w:val="en-US"/>
        </w:rPr>
        <w:t>inhibit the oxidation reactions and subsequently mitigate ARD generation.</w:t>
      </w:r>
      <w:r w:rsidR="00FE2011">
        <w:rPr>
          <w:lang w:val="en-US"/>
        </w:rPr>
        <w:t xml:space="preserve"> Alternatively,</w:t>
      </w:r>
      <w:r w:rsidR="00525088">
        <w:rPr>
          <w:lang w:val="en-US"/>
        </w:rPr>
        <w:t xml:space="preserve"> cemented paste backfills that incorporate</w:t>
      </w:r>
      <w:r w:rsidR="00441497">
        <w:rPr>
          <w:lang w:val="en-US"/>
        </w:rPr>
        <w:t xml:space="preserve"> </w:t>
      </w:r>
      <w:r w:rsidR="00525088">
        <w:rPr>
          <w:lang w:val="en-US"/>
        </w:rPr>
        <w:t xml:space="preserve">sulfide concentrates following </w:t>
      </w:r>
      <w:r w:rsidR="0017651F">
        <w:rPr>
          <w:lang w:val="en-US"/>
        </w:rPr>
        <w:t>desulfurisation</w:t>
      </w:r>
      <w:r w:rsidR="00525088">
        <w:rPr>
          <w:lang w:val="en-US"/>
        </w:rPr>
        <w:t xml:space="preserve"> by flotation are used to bifunctionally support mined voids and reduce the infiltration of oxygen to the acid-generating tailings </w:t>
      </w:r>
      <w:r w:rsidR="00C94A7A">
        <w:rPr>
          <w:lang w:val="en-US"/>
        </w:rPr>
        <w:fldChar w:fldCharType="begin" w:fldLock="1"/>
      </w:r>
      <w:r w:rsidR="00C94A7A">
        <w:rPr>
          <w:lang w:val="en-US"/>
        </w:rPr>
        <w:instrText>ADDIN CSL_CITATION { "citationItems" : [ { "id" : "ITEM-1", "itemData" : { "DOI" : "10.1016/j.mineng.2007.11.006", "ISSN" : "08926875", "author" : [ { "dropping-particle" : "", "family" : "Demers", "given" : "Isabelle", "non-dropping-particle" : "", "parse-names" : false, "suffix" : "" }, { "dropping-particle" : "", "family" : "Bussi\u00e8re", "given" : "Bruno", "non-dropping-particle" : "", "parse-names" : false, "suffix" : "" }, { "dropping-particle" : "", "family" : "Benzaazoua", "given" : "Mostafa", "non-dropping-particle" : "", "parse-names" : false, "suffix" : "" }, { "dropping-particle" : "", "family" : "Mbonimpa", "given" : "Mamert", "non-dropping-particle" : "", "parse-names" : false, "suffix" : "" }, { "dropping-particle" : "", "family" : "Blier", "given" : "Annie", "non-dropping-particle" : "", "parse-names" : false, "suffix" : "" } ], "container-title" : "Minerals Engineering", "id" : "ITEM-1", "issue" : "4", "issued" : { "date-parts" : [ [ "2008", "3" ] ] }, "page" : "317-329", "title" : "Column test investigation on the performance of monolayer covers made of desulphurized tailings to prevent acid mine drainage", "type" : "article-journal", "volume" : "21" }, "uris" : [ "http://www.mendeley.com/documents/?uuid=a60822e2-eafb-45e3-9bc2-52fb7ef6d260" ] } ], "mendeley" : { "formattedCitation" : "[1]", "plainTextFormattedCitation" : "[1]", "previouslyFormattedCitation" : "[1]" }, "properties" : { "noteIndex" : 0 }, "schema" : "https://github.com/citation-style-language/schema/raw/master/csl-citation.json" }</w:instrText>
      </w:r>
      <w:r w:rsidR="00C94A7A">
        <w:rPr>
          <w:lang w:val="en-US"/>
        </w:rPr>
        <w:fldChar w:fldCharType="separate"/>
      </w:r>
      <w:r w:rsidR="00C94A7A" w:rsidRPr="00C94A7A">
        <w:rPr>
          <w:noProof/>
          <w:lang w:val="en-US"/>
        </w:rPr>
        <w:t>[1]</w:t>
      </w:r>
      <w:r w:rsidR="00C94A7A">
        <w:rPr>
          <w:lang w:val="en-US"/>
        </w:rPr>
        <w:fldChar w:fldCharType="end"/>
      </w:r>
      <w:r w:rsidR="00525088">
        <w:rPr>
          <w:lang w:val="en-US"/>
        </w:rPr>
        <w:t xml:space="preserve">. </w:t>
      </w:r>
      <w:r w:rsidR="00E44C42">
        <w:rPr>
          <w:lang w:val="en-US"/>
        </w:rPr>
        <w:t>E</w:t>
      </w:r>
      <w:r w:rsidR="00513458">
        <w:rPr>
          <w:lang w:val="en-US"/>
        </w:rPr>
        <w:t>fficiency as a preventative measure depend</w:t>
      </w:r>
      <w:r w:rsidR="00E44C42">
        <w:rPr>
          <w:lang w:val="en-US"/>
        </w:rPr>
        <w:t>s</w:t>
      </w:r>
      <w:r w:rsidR="00513458">
        <w:rPr>
          <w:lang w:val="en-US"/>
        </w:rPr>
        <w:t xml:space="preserve"> on the strength of the backfill that is susceptible to sulfate attack during the curing process</w:t>
      </w:r>
      <w:r w:rsidR="00C94A7A">
        <w:rPr>
          <w:lang w:val="en-US"/>
        </w:rPr>
        <w:t xml:space="preserve"> </w:t>
      </w:r>
      <w:r w:rsidR="00C94A7A">
        <w:rPr>
          <w:lang w:val="en-US"/>
        </w:rPr>
        <w:fldChar w:fldCharType="begin" w:fldLock="1"/>
      </w:r>
      <w:r w:rsidR="00C94A7A">
        <w:rPr>
          <w:lang w:val="en-US"/>
        </w:rPr>
        <w:instrText>ADDIN CSL_CITATION { "citationItems" : [ { "id" : "ITEM-1", "itemData" : { "DOI" : "10.1016/j.mineng.2003.10.027", "ISSN" : "08926875", "author" : [ { "dropping-particle" : "", "family" : "Benzaazoua", "given" : "M.", "non-dropping-particle" : "", "parse-names" : false, "suffix" : "" }, { "dropping-particle" : "", "family" : "Marion", "given" : "P.", "non-dropping-particle" : "", "parse-names" : false, "suffix" : "" }, { "dropping-particle" : "", "family" : "Picquet", "given" : "I.", "non-dropping-particle" : "", "parse-names" : false, "suffix" : "" }, { "dropping-particle" : "", "family" : "Bussi\u00e8re", "given" : "B.", "non-dropping-particle" : "", "parse-names" : false, "suffix" : "" } ], "container-title" : "Minerals Engineering", "id" : "ITEM-1", "issue" : "2", "issued" : { "date-parts" : [ [ "2004", "2" ] ] }, "page" : "233-243", "title" : "The use of pastefill as a solidification and stabilization process for the control of acid mine drainage", "type" : "article-journal", "volume" : "17" }, "uris" : [ "http://www.mendeley.com/documents/?uuid=0ee4d500-85c7-4fae-b81f-aa9a7270316f" ] } ], "mendeley" : { "formattedCitation" : "[2]", "plainTextFormattedCitation" : "[2]", "previouslyFormattedCitation" : "[2]" }, "properties" : { "noteIndex" : 0 }, "schema" : "https://github.com/citation-style-language/schema/raw/master/csl-citation.json" }</w:instrText>
      </w:r>
      <w:r w:rsidR="00C94A7A">
        <w:rPr>
          <w:lang w:val="en-US"/>
        </w:rPr>
        <w:fldChar w:fldCharType="separate"/>
      </w:r>
      <w:r w:rsidR="00C94A7A" w:rsidRPr="00C94A7A">
        <w:rPr>
          <w:noProof/>
          <w:lang w:val="en-US"/>
        </w:rPr>
        <w:t>[2]</w:t>
      </w:r>
      <w:r w:rsidR="00C94A7A">
        <w:rPr>
          <w:lang w:val="en-US"/>
        </w:rPr>
        <w:fldChar w:fldCharType="end"/>
      </w:r>
      <w:r w:rsidR="00513458">
        <w:rPr>
          <w:lang w:val="en-US"/>
        </w:rPr>
        <w:t xml:space="preserve">. </w:t>
      </w:r>
      <w:r w:rsidR="008C72E3">
        <w:rPr>
          <w:lang w:val="en-US"/>
        </w:rPr>
        <w:t>C</w:t>
      </w:r>
      <w:r w:rsidR="00087C04">
        <w:rPr>
          <w:lang w:val="en-US"/>
        </w:rPr>
        <w:t>overs consist</w:t>
      </w:r>
      <w:r w:rsidR="008C72E3">
        <w:rPr>
          <w:lang w:val="en-US"/>
        </w:rPr>
        <w:t>ing</w:t>
      </w:r>
      <w:r w:rsidR="00087C04">
        <w:rPr>
          <w:lang w:val="en-US"/>
        </w:rPr>
        <w:t xml:space="preserve"> of a barrier </w:t>
      </w:r>
      <w:r w:rsidR="00006964">
        <w:rPr>
          <w:lang w:val="en-US"/>
        </w:rPr>
        <w:t>of either water</w:t>
      </w:r>
      <w:r w:rsidR="00E44C42">
        <w:rPr>
          <w:lang w:val="en-US"/>
        </w:rPr>
        <w:t xml:space="preserve"> to</w:t>
      </w:r>
      <w:r w:rsidR="00006964">
        <w:rPr>
          <w:lang w:val="en-US"/>
        </w:rPr>
        <w:t xml:space="preserve"> impose</w:t>
      </w:r>
      <w:r w:rsidR="008C72E3">
        <w:rPr>
          <w:lang w:val="en-US"/>
        </w:rPr>
        <w:t xml:space="preserve"> diffusional limitations of oxygen to the reactive tailings or oxygen consuming organic materials are common</w:t>
      </w:r>
      <w:r w:rsidR="00006964">
        <w:rPr>
          <w:lang w:val="en-US"/>
        </w:rPr>
        <w:t>.</w:t>
      </w:r>
      <w:r w:rsidR="008C72E3">
        <w:rPr>
          <w:lang w:val="en-US"/>
        </w:rPr>
        <w:t xml:space="preserve"> </w:t>
      </w:r>
      <w:r w:rsidR="00E44C42">
        <w:rPr>
          <w:lang w:val="en-US"/>
        </w:rPr>
        <w:t>R</w:t>
      </w:r>
      <w:r w:rsidR="005B5C68">
        <w:rPr>
          <w:lang w:val="en-US"/>
        </w:rPr>
        <w:t>ecently c</w:t>
      </w:r>
      <w:r w:rsidR="00006964">
        <w:rPr>
          <w:lang w:val="en-US"/>
        </w:rPr>
        <w:t xml:space="preserve">overs with capillary barrier effects </w:t>
      </w:r>
      <w:r w:rsidR="005B5C68">
        <w:rPr>
          <w:lang w:val="en-US"/>
        </w:rPr>
        <w:t xml:space="preserve">that </w:t>
      </w:r>
      <w:r w:rsidR="00006964">
        <w:rPr>
          <w:lang w:val="en-US"/>
        </w:rPr>
        <w:t>limit ARD generation by utilising low sulfur</w:t>
      </w:r>
      <w:r w:rsidR="005B5C68">
        <w:rPr>
          <w:lang w:val="en-US"/>
        </w:rPr>
        <w:t>, non-acid generating</w:t>
      </w:r>
      <w:r w:rsidR="00006964">
        <w:rPr>
          <w:lang w:val="en-US"/>
        </w:rPr>
        <w:t xml:space="preserve"> </w:t>
      </w:r>
      <w:r w:rsidR="005B5C68">
        <w:rPr>
          <w:lang w:val="en-US"/>
        </w:rPr>
        <w:t>tailings to both inhibit oxygen transport and increase the neutralizing capacity of waste rock dumps are</w:t>
      </w:r>
      <w:r w:rsidR="0011585D">
        <w:rPr>
          <w:lang w:val="en-US"/>
        </w:rPr>
        <w:t xml:space="preserve"> increasingly investigated</w:t>
      </w:r>
      <w:r w:rsidR="00C94A7A">
        <w:rPr>
          <w:lang w:val="en-US"/>
        </w:rPr>
        <w:t xml:space="preserve"> </w:t>
      </w:r>
      <w:r w:rsidR="00C94A7A">
        <w:rPr>
          <w:lang w:val="en-US"/>
        </w:rPr>
        <w:fldChar w:fldCharType="begin" w:fldLock="1"/>
      </w:r>
      <w:r w:rsidR="00C94A7A">
        <w:rPr>
          <w:lang w:val="en-US"/>
        </w:rPr>
        <w:instrText>ADDIN CSL_CITATION { "citationItems" : [ { "id" : "ITEM-1", "itemData" : { "DOI" : "10.1016/j.mineng.2007.11.006", "ISSN" : "08926875", "author" : [ { "dropping-particle" : "", "family" : "Demers", "given" : "Isabelle", "non-dropping-particle" : "", "parse-names" : false, "suffix" : "" }, { "dropping-particle" : "", "family" : "Bussi\u00e8re", "given" : "Bruno", "non-dropping-particle" : "", "parse-names" : false, "suffix" : "" }, { "dropping-particle" : "", "family" : "Benzaazoua", "given" : "Mostafa", "non-dropping-particle" : "", "parse-names" : false, "suffix" : "" }, { "dropping-particle" : "", "family" : "Mbonimpa", "given" : "Mamert", "non-dropping-particle" : "", "parse-names" : false, "suffix" : "" }, { "dropping-particle" : "", "family" : "Blier", "given" : "Annie", "non-dropping-particle" : "", "parse-names" : false, "suffix" : "" } ], "container-title" : "Minerals Engineering", "id" : "ITEM-1", "issue" : "4", "issued" : { "date-parts" : [ [ "2008", "3" ] ] }, "page" : "317-329", "title" : "Column test investigation on the performance of monolayer covers made of desulphurized tailings to prevent acid mine drainage", "type" : "article-journal", "volume" : "21" }, "uris" : [ "http://www.mendeley.com/documents/?uuid=a60822e2-eafb-45e3-9bc2-52fb7ef6d260" ] }, { "id" : "ITEM-2", "itemData" : { "author" : [ { "dropping-particle" : "", "family" : "Gautama", "given" : "R S", "non-dropping-particle" : "", "parse-names" : false, "suffix" : "" }, { "dropping-particle" : "", "family" : "Kusuma", "given" : "G J", "non-dropping-particle" : "", "parse-names" : false, "suffix" : "" }, { "dropping-particle" : "", "family" : "Lestari", "given" : "I", "non-dropping-particle" : "", "parse-names" : false, "suffix" : "" }, { "dropping-particle" : "", "family" : "Anggana", "given" : "R P", "non-dropping-particle" : "", "parse-names" : false, "suffix" : "" } ], "container-title" : "Proceedings of the 2010 International Mine Water Association symposium: mine water and innovative thinking", "id" : "ITEM-2", "issued" : { "date-parts" : [ [ "2010" ] ] }, "title" : "Weathering behaviour of overburden-coal ash blending in relation to overburden management for acid mine drainage prevention in coal surface mine", "type" : "paper-conference" }, "uris" : [ "http://www.mendeley.com/documents/?uuid=386e6e4e-ed90-4f2a-8789-a11abc65e378" ] } ], "mendeley" : { "formattedCitation" : "[1,3]", "plainTextFormattedCitation" : "[1,3]", "previouslyFormattedCitation" : "[1,3]" }, "properties" : { "noteIndex" : 0 }, "schema" : "https://github.com/citation-style-language/schema/raw/master/csl-citation.json" }</w:instrText>
      </w:r>
      <w:r w:rsidR="00C94A7A">
        <w:rPr>
          <w:lang w:val="en-US"/>
        </w:rPr>
        <w:fldChar w:fldCharType="separate"/>
      </w:r>
      <w:r w:rsidR="00C94A7A" w:rsidRPr="00C94A7A">
        <w:rPr>
          <w:noProof/>
          <w:lang w:val="en-US"/>
        </w:rPr>
        <w:t>[1,3]</w:t>
      </w:r>
      <w:r w:rsidR="00C94A7A">
        <w:rPr>
          <w:lang w:val="en-US"/>
        </w:rPr>
        <w:fldChar w:fldCharType="end"/>
      </w:r>
      <w:r w:rsidR="0011585D">
        <w:rPr>
          <w:lang w:val="en-US"/>
        </w:rPr>
        <w:t>.</w:t>
      </w:r>
    </w:p>
    <w:p w14:paraId="078F1CD6" w14:textId="77777777" w:rsidR="005F6609" w:rsidRDefault="005F6609" w:rsidP="00F00777">
      <w:pPr>
        <w:jc w:val="both"/>
        <w:rPr>
          <w:lang w:val="en-US"/>
        </w:rPr>
      </w:pPr>
    </w:p>
    <w:p w14:paraId="08257176" w14:textId="50962861" w:rsidR="002E1EC2" w:rsidRPr="004C0D1D" w:rsidRDefault="0011585D" w:rsidP="00866FA0">
      <w:pPr>
        <w:jc w:val="both"/>
        <w:rPr>
          <w:lang w:val="en-US"/>
        </w:rPr>
      </w:pPr>
      <w:r>
        <w:rPr>
          <w:lang w:val="en-US"/>
        </w:rPr>
        <w:t>ARD</w:t>
      </w:r>
      <w:r w:rsidR="00F00777" w:rsidRPr="00B82090">
        <w:rPr>
          <w:lang w:val="en-US"/>
        </w:rPr>
        <w:t xml:space="preserve"> </w:t>
      </w:r>
      <w:r w:rsidR="00F219DB">
        <w:rPr>
          <w:lang w:val="en-US"/>
        </w:rPr>
        <w:t xml:space="preserve">prevention studies </w:t>
      </w:r>
      <w:r w:rsidR="00F00777" w:rsidRPr="00B82090">
        <w:rPr>
          <w:lang w:val="en-US"/>
        </w:rPr>
        <w:t xml:space="preserve">are frequently limited to batch-like experiments </w:t>
      </w:r>
      <w:r w:rsidR="00F219DB">
        <w:rPr>
          <w:lang w:val="en-US"/>
        </w:rPr>
        <w:t>that</w:t>
      </w:r>
      <w:r w:rsidR="00F00777" w:rsidRPr="00B82090">
        <w:rPr>
          <w:lang w:val="en-US"/>
        </w:rPr>
        <w:t xml:space="preserve"> do not account for the long-term resistance of the </w:t>
      </w:r>
      <w:r>
        <w:rPr>
          <w:lang w:val="en-US"/>
        </w:rPr>
        <w:t>mitigating procedure</w:t>
      </w:r>
      <w:r w:rsidR="00F00777" w:rsidRPr="00B82090">
        <w:rPr>
          <w:lang w:val="en-US"/>
        </w:rPr>
        <w:t xml:space="preserve"> to weathering or flow conditions. </w:t>
      </w:r>
      <w:r w:rsidR="00EC1394">
        <w:rPr>
          <w:lang w:val="en-US"/>
        </w:rPr>
        <w:t>T</w:t>
      </w:r>
      <w:r w:rsidR="00F00777" w:rsidRPr="00B82090">
        <w:rPr>
          <w:lang w:val="en-US"/>
        </w:rPr>
        <w:t xml:space="preserve">he influence of acidic environments or the effect of increased oxidation in the presence </w:t>
      </w:r>
      <w:r w:rsidR="00EC1394">
        <w:rPr>
          <w:lang w:val="en-US"/>
        </w:rPr>
        <w:t xml:space="preserve">of </w:t>
      </w:r>
      <w:r w:rsidR="004C0D1D" w:rsidRPr="00B82090">
        <w:rPr>
          <w:lang w:val="en-US"/>
        </w:rPr>
        <w:t xml:space="preserve">iron- and </w:t>
      </w:r>
      <w:r w:rsidR="004C0D1D">
        <w:rPr>
          <w:lang w:val="en-US"/>
        </w:rPr>
        <w:t>sulf</w:t>
      </w:r>
      <w:r w:rsidR="004C0D1D" w:rsidRPr="00B82090">
        <w:rPr>
          <w:lang w:val="en-US"/>
        </w:rPr>
        <w:t>ur-oxidising microorganisms that catalyse the leaching reactions</w:t>
      </w:r>
      <w:r w:rsidR="00F00777" w:rsidRPr="00B82090">
        <w:rPr>
          <w:lang w:val="en-US"/>
        </w:rPr>
        <w:t xml:space="preserve"> at low p</w:t>
      </w:r>
      <w:r w:rsidR="009F6469">
        <w:rPr>
          <w:lang w:val="en-US"/>
        </w:rPr>
        <w:t>H on the efficacy of the preventative measure</w:t>
      </w:r>
      <w:r w:rsidR="00937ADD">
        <w:rPr>
          <w:lang w:val="en-US"/>
        </w:rPr>
        <w:t xml:space="preserve"> are</w:t>
      </w:r>
      <w:r w:rsidR="00EC1394">
        <w:rPr>
          <w:lang w:val="en-US"/>
        </w:rPr>
        <w:t xml:space="preserve"> also</w:t>
      </w:r>
      <w:r w:rsidR="00F00777" w:rsidRPr="00B82090">
        <w:rPr>
          <w:lang w:val="en-US"/>
        </w:rPr>
        <w:t xml:space="preserve"> </w:t>
      </w:r>
      <w:r w:rsidR="004C0D1D">
        <w:rPr>
          <w:lang w:val="en-US"/>
        </w:rPr>
        <w:t>scarce</w:t>
      </w:r>
      <w:r w:rsidR="00937ADD">
        <w:rPr>
          <w:lang w:val="en-US"/>
        </w:rPr>
        <w:t xml:space="preserve">. </w:t>
      </w:r>
      <w:r w:rsidR="004C0D1D">
        <w:rPr>
          <w:lang w:val="en-US"/>
        </w:rPr>
        <w:t>In this study, experiments are designed to reduce the permeability of acid-generating coal</w:t>
      </w:r>
      <w:r w:rsidR="00E44C42">
        <w:rPr>
          <w:lang w:val="en-US"/>
        </w:rPr>
        <w:t>-associated</w:t>
      </w:r>
      <w:r w:rsidR="004C0D1D">
        <w:rPr>
          <w:lang w:val="en-US"/>
        </w:rPr>
        <w:t xml:space="preserve"> waste rock by the </w:t>
      </w:r>
      <w:r w:rsidR="004C0D1D" w:rsidRPr="00B82090">
        <w:rPr>
          <w:lang w:val="en-US"/>
        </w:rPr>
        <w:t xml:space="preserve">ingression of inert fine </w:t>
      </w:r>
      <w:r w:rsidR="004C0D1D">
        <w:rPr>
          <w:lang w:val="en-US"/>
        </w:rPr>
        <w:t xml:space="preserve">benign </w:t>
      </w:r>
      <w:r w:rsidR="00540628">
        <w:rPr>
          <w:lang w:val="en-US"/>
        </w:rPr>
        <w:t>desulfurised</w:t>
      </w:r>
      <w:r w:rsidR="004C0D1D">
        <w:rPr>
          <w:lang w:val="en-US"/>
        </w:rPr>
        <w:t xml:space="preserve"> tailings t</w:t>
      </w:r>
      <w:r w:rsidR="007B0C39">
        <w:rPr>
          <w:lang w:val="en-US"/>
        </w:rPr>
        <w:t>o</w:t>
      </w:r>
      <w:r w:rsidR="004C0D1D">
        <w:rPr>
          <w:lang w:val="en-US"/>
        </w:rPr>
        <w:t xml:space="preserve"> </w:t>
      </w:r>
      <w:r w:rsidR="00EC1394">
        <w:rPr>
          <w:lang w:val="en-US"/>
        </w:rPr>
        <w:t>e</w:t>
      </w:r>
      <w:r w:rsidR="004C0D1D">
        <w:rPr>
          <w:lang w:val="en-US"/>
        </w:rPr>
        <w:t xml:space="preserve">nhance mass transfer limitations throughout the reaction environment. </w:t>
      </w:r>
      <w:r w:rsidR="00DD370F" w:rsidRPr="00DD370F">
        <w:rPr>
          <w:lang w:val="en-US"/>
        </w:rPr>
        <w:t xml:space="preserve">The efficacy of the method is assessed by analysing the effluent solution concentrations for long-term prevention of ARD. </w:t>
      </w:r>
    </w:p>
    <w:p w14:paraId="06F51B23" w14:textId="77777777" w:rsidR="00DE33C4" w:rsidRDefault="00DE33C4" w:rsidP="007E504C">
      <w:pPr>
        <w:jc w:val="both"/>
        <w:rPr>
          <w:b/>
        </w:rPr>
      </w:pPr>
      <w:r w:rsidRPr="00FA278C">
        <w:rPr>
          <w:b/>
        </w:rPr>
        <w:lastRenderedPageBreak/>
        <w:t>Experimental setup</w:t>
      </w:r>
    </w:p>
    <w:p w14:paraId="041EC9D0" w14:textId="77777777" w:rsidR="00F56CFC" w:rsidRPr="00FA278C" w:rsidRDefault="00F56CFC" w:rsidP="007E504C">
      <w:pPr>
        <w:jc w:val="both"/>
        <w:rPr>
          <w:b/>
        </w:rPr>
      </w:pPr>
    </w:p>
    <w:p w14:paraId="2FC1C572" w14:textId="521C80AE" w:rsidR="00194AD2" w:rsidRPr="00DD5F76" w:rsidRDefault="00DD5F76" w:rsidP="00E33646">
      <w:pPr>
        <w:jc w:val="both"/>
        <w:rPr>
          <w:b/>
          <w:lang w:val="en-US"/>
        </w:rPr>
      </w:pPr>
      <w:r w:rsidRPr="00DD5F76">
        <w:rPr>
          <w:b/>
          <w:lang w:val="en-US"/>
        </w:rPr>
        <w:t>Samples</w:t>
      </w:r>
    </w:p>
    <w:p w14:paraId="7AB6CE7D" w14:textId="77777777" w:rsidR="00DD5F76" w:rsidRDefault="00DD5F76" w:rsidP="00E33646">
      <w:pPr>
        <w:jc w:val="both"/>
        <w:rPr>
          <w:lang w:val="en-US"/>
        </w:rPr>
      </w:pPr>
    </w:p>
    <w:p w14:paraId="46B18BD3" w14:textId="3F06E003" w:rsidR="00865371" w:rsidRDefault="00FA42E1" w:rsidP="00E33646">
      <w:pPr>
        <w:jc w:val="both"/>
        <w:rPr>
          <w:lang w:val="en-US"/>
        </w:rPr>
      </w:pPr>
      <w:r>
        <w:rPr>
          <w:lang w:val="en-US"/>
        </w:rPr>
        <w:t>I</w:t>
      </w:r>
      <w:r w:rsidR="00E86DFA">
        <w:rPr>
          <w:lang w:val="en-US"/>
        </w:rPr>
        <w:t xml:space="preserve">nterburden coal with an average pore volume </w:t>
      </w:r>
      <w:r>
        <w:rPr>
          <w:lang w:val="en-US"/>
        </w:rPr>
        <w:t xml:space="preserve">of </w:t>
      </w:r>
      <w:r w:rsidR="005C1C6E">
        <w:rPr>
          <w:lang w:val="en-US"/>
        </w:rPr>
        <w:t>0.035</w:t>
      </w:r>
      <w:r w:rsidR="00E86DFA" w:rsidRPr="00E86DFA">
        <w:rPr>
          <w:lang w:val="en-US"/>
        </w:rPr>
        <w:t xml:space="preserve"> cm</w:t>
      </w:r>
      <w:r w:rsidR="00E86DFA" w:rsidRPr="0094622C">
        <w:rPr>
          <w:vertAlign w:val="superscript"/>
          <w:lang w:val="en-US"/>
        </w:rPr>
        <w:t>3</w:t>
      </w:r>
      <w:r w:rsidR="00E86DFA" w:rsidRPr="00E86DFA">
        <w:rPr>
          <w:lang w:val="en-US"/>
        </w:rPr>
        <w:t xml:space="preserve">/g </w:t>
      </w:r>
      <w:r w:rsidR="0094622C">
        <w:rPr>
          <w:lang w:val="en-US"/>
        </w:rPr>
        <w:t>was obtained from the Water</w:t>
      </w:r>
      <w:r>
        <w:rPr>
          <w:lang w:val="en-US"/>
        </w:rPr>
        <w:t>berg Coalfield in South Africa.</w:t>
      </w:r>
      <w:r w:rsidR="005356BF">
        <w:rPr>
          <w:lang w:val="en-US"/>
        </w:rPr>
        <w:t xml:space="preserve"> The </w:t>
      </w:r>
      <w:r w:rsidR="00540628">
        <w:rPr>
          <w:lang w:val="en-US"/>
        </w:rPr>
        <w:t>desulfurised</w:t>
      </w:r>
      <w:r w:rsidR="005356BF">
        <w:rPr>
          <w:lang w:val="en-US"/>
        </w:rPr>
        <w:t xml:space="preserve"> tailings were generated from the flotation of an ultrafine </w:t>
      </w:r>
      <w:r w:rsidR="005356BF" w:rsidRPr="005356BF">
        <w:rPr>
          <w:lang w:val="en-US"/>
        </w:rPr>
        <w:t>bituminous waste coal</w:t>
      </w:r>
      <w:r w:rsidR="005356BF">
        <w:rPr>
          <w:lang w:val="en-US"/>
        </w:rPr>
        <w:t xml:space="preserve"> milled to 75% passing 106 </w:t>
      </w:r>
      <w:r w:rsidR="005356BF">
        <w:rPr>
          <w:lang w:val="el-GR"/>
        </w:rPr>
        <w:t>μm</w:t>
      </w:r>
      <w:r w:rsidR="005356BF">
        <w:rPr>
          <w:lang w:val="en-US"/>
        </w:rPr>
        <w:t xml:space="preserve"> from Middle</w:t>
      </w:r>
      <w:r w:rsidR="005356BF" w:rsidRPr="005356BF">
        <w:rPr>
          <w:lang w:val="en-US"/>
        </w:rPr>
        <w:t>burg region, South Africa</w:t>
      </w:r>
      <w:r w:rsidR="005356BF">
        <w:rPr>
          <w:lang w:val="en-US"/>
        </w:rPr>
        <w:t>. The sulfide flotation procedure</w:t>
      </w:r>
      <w:r w:rsidR="007B0C39">
        <w:rPr>
          <w:lang w:val="en-US"/>
        </w:rPr>
        <w:t>,</w:t>
      </w:r>
      <w:r w:rsidR="005356BF">
        <w:rPr>
          <w:lang w:val="en-US"/>
        </w:rPr>
        <w:t xml:space="preserve"> outlined in Mbamba et al. </w:t>
      </w:r>
      <w:r w:rsidR="007B0C39">
        <w:rPr>
          <w:lang w:val="en-US"/>
        </w:rPr>
        <w:fldChar w:fldCharType="begin" w:fldLock="1"/>
      </w:r>
      <w:r w:rsidR="007B0C39">
        <w:rPr>
          <w:lang w:val="en-US"/>
        </w:rPr>
        <w:instrText>ADDIN CSL_CITATION { "citationItems" : [ { "id" : "ITEM-1", "itemData" : { "author" : [ { "dropping-particle" : "", "family" : "Mbamba", "given" : "C", "non-dropping-particle" : "", "parse-names" : false, "suffix" : "" }, { "dropping-particle" : "", "family" : "Franzidis", "given" : "J -P", "non-dropping-particle" : "", "parse-names" : false, "suffix" : "" }, { "dropping-particle" : "", "family" : "Harrison", "given" : "S T L", "non-dropping-particle" : "", "parse-names" : false, "suffix" : "" }, { "dropping-particle" : "", "family" : "Broadhurst", "given" : "J L", "non-dropping-particle" : "", "parse-names" : false, "suffix" : "" } ], "container-title" : "The Journal of The South African Institute of Mining and Metallurgy", "id" : "ITEM-1", "issue" : "May", "issued" : { "date-parts" : [ [ "2013" ] ] }, "page" : "399-405", "title" : "Flotation of coal and sulphur from South African ultrafine colliery wastes", "type" : "article-journal", "volume" : "113" }, "uris" : [ "http://www.mendeley.com/documents/?uuid=85bfa7b8-c4b2-446c-bf38-930d22851019" ] } ], "mendeley" : { "formattedCitation" : "[4]", "plainTextFormattedCitation" : "[4]", "previouslyFormattedCitation" : "[4]" }, "properties" : { "noteIndex" : 0 }, "schema" : "https://github.com/citation-style-language/schema/raw/master/csl-citation.json" }</w:instrText>
      </w:r>
      <w:r w:rsidR="007B0C39">
        <w:rPr>
          <w:lang w:val="en-US"/>
        </w:rPr>
        <w:fldChar w:fldCharType="separate"/>
      </w:r>
      <w:r w:rsidR="007B0C39" w:rsidRPr="00C94A7A">
        <w:rPr>
          <w:noProof/>
          <w:lang w:val="en-US"/>
        </w:rPr>
        <w:t>[4]</w:t>
      </w:r>
      <w:r w:rsidR="007B0C39">
        <w:rPr>
          <w:lang w:val="en-US"/>
        </w:rPr>
        <w:fldChar w:fldCharType="end"/>
      </w:r>
      <w:r w:rsidR="007B0C39">
        <w:rPr>
          <w:lang w:val="en-US"/>
        </w:rPr>
        <w:t xml:space="preserve"> </w:t>
      </w:r>
      <w:r w:rsidR="005356BF">
        <w:rPr>
          <w:lang w:val="en-US"/>
        </w:rPr>
        <w:t xml:space="preserve">was followed to obtain </w:t>
      </w:r>
      <w:r w:rsidR="008E46F2">
        <w:rPr>
          <w:lang w:val="en-US"/>
        </w:rPr>
        <w:t>fine tailings with a total sulfur content of less than 0.78%</w:t>
      </w:r>
      <w:r w:rsidR="005356BF">
        <w:rPr>
          <w:lang w:val="en-US"/>
        </w:rPr>
        <w:t>.</w:t>
      </w:r>
      <w:r w:rsidR="005356BF" w:rsidRPr="005356BF">
        <w:rPr>
          <w:lang w:val="en-US"/>
        </w:rPr>
        <w:t xml:space="preserve"> </w:t>
      </w:r>
      <w:r w:rsidR="002F3A8E">
        <w:rPr>
          <w:lang w:val="en-US"/>
        </w:rPr>
        <w:t xml:space="preserve">The acid </w:t>
      </w:r>
      <w:r w:rsidR="009D1A24">
        <w:rPr>
          <w:lang w:val="en-US"/>
        </w:rPr>
        <w:t xml:space="preserve">generating </w:t>
      </w:r>
      <w:r w:rsidR="002F3A8E">
        <w:rPr>
          <w:lang w:val="en-US"/>
        </w:rPr>
        <w:t xml:space="preserve">and neutralizing capacity of both the interburden coal and </w:t>
      </w:r>
      <w:r w:rsidR="00540628">
        <w:rPr>
          <w:lang w:val="en-US"/>
        </w:rPr>
        <w:t>desulfurised</w:t>
      </w:r>
      <w:r w:rsidR="002F3A8E">
        <w:rPr>
          <w:lang w:val="en-US"/>
        </w:rPr>
        <w:t xml:space="preserve"> tailings were assessed using acid-base accounting tests. The acid neutralizing capacity (ANC)</w:t>
      </w:r>
      <w:r w:rsidR="008D795F">
        <w:rPr>
          <w:lang w:val="en-US"/>
        </w:rPr>
        <w:t>, net acid generation (NAG) and acid producing potential (NAPP)</w:t>
      </w:r>
      <w:r w:rsidR="00865371">
        <w:rPr>
          <w:lang w:val="en-US"/>
        </w:rPr>
        <w:t xml:space="preserve"> of the samples </w:t>
      </w:r>
      <w:r w:rsidR="002F3A8E">
        <w:rPr>
          <w:lang w:val="en-US"/>
        </w:rPr>
        <w:t>w</w:t>
      </w:r>
      <w:r w:rsidR="00A038D1">
        <w:rPr>
          <w:lang w:val="en-US"/>
        </w:rPr>
        <w:t>ere determin</w:t>
      </w:r>
      <w:r w:rsidR="00865371">
        <w:rPr>
          <w:lang w:val="en-US"/>
        </w:rPr>
        <w:t>ed</w:t>
      </w:r>
      <w:r w:rsidR="002F3A8E">
        <w:rPr>
          <w:lang w:val="en-US"/>
        </w:rPr>
        <w:t xml:space="preserve"> using </w:t>
      </w:r>
      <w:r w:rsidR="00865371">
        <w:rPr>
          <w:lang w:val="en-US"/>
        </w:rPr>
        <w:t>a</w:t>
      </w:r>
      <w:r w:rsidR="002F3A8E">
        <w:rPr>
          <w:lang w:val="en-US"/>
        </w:rPr>
        <w:t xml:space="preserve"> refinement of the</w:t>
      </w:r>
      <w:r w:rsidR="00865371">
        <w:rPr>
          <w:lang w:val="en-US"/>
        </w:rPr>
        <w:t xml:space="preserve"> ANC</w:t>
      </w:r>
      <w:r w:rsidR="002F3A8E">
        <w:rPr>
          <w:lang w:val="en-US"/>
        </w:rPr>
        <w:t xml:space="preserve"> me</w:t>
      </w:r>
      <w:r w:rsidR="00202588">
        <w:rPr>
          <w:lang w:val="en-US"/>
        </w:rPr>
        <w:t>thod proposed by Skousen et al.</w:t>
      </w:r>
      <w:r w:rsidR="008D795F">
        <w:rPr>
          <w:lang w:val="en-US"/>
        </w:rPr>
        <w:t xml:space="preserve"> </w:t>
      </w:r>
      <w:r w:rsidR="00865371">
        <w:rPr>
          <w:lang w:val="en-US"/>
        </w:rPr>
        <w:t>and procedures outlined by Stewart et al. (NAG, NAPP)</w:t>
      </w:r>
      <w:r w:rsidR="00202588">
        <w:rPr>
          <w:lang w:val="en-US"/>
        </w:rPr>
        <w:t xml:space="preserve"> </w:t>
      </w:r>
      <w:r w:rsidR="008D795F">
        <w:rPr>
          <w:lang w:val="en-US"/>
        </w:rPr>
        <w:fldChar w:fldCharType="begin" w:fldLock="1"/>
      </w:r>
      <w:r w:rsidR="000C27D8">
        <w:rPr>
          <w:lang w:val="en-US"/>
        </w:rPr>
        <w:instrText>ADDIN CSL_CITATION { "citationItems" : [ { "id" : "ITEM-1", "itemData" : { "DOI" : "10.2134/jeq1997.00472425002600030012x", "ISSN" : "00472425", "abstract" : "Acid-base accounting (ABA) is a common procedure to predict the alkaline or acid-producing potential of overburdens. Neutralization potential (NP) as currently written in ABA overestimates alkalinity when siderite (FeC03) is present in the overburden. Siderite initially yields alkalinity upon digestion, but with time the alkalinity is neutral- ized by acidity from ferric iron (Fe3+) hydrolysis and precipitation. Thirty-one overburden samples containing varying amounts of sider- ite, calcite, pyrite, and quartz were analyzed by four NP digestion methods and titrated either by hand or by autotitration. The NP methods were: (i) standard Sobek method (Sobek); (ii) a method that boils the sample for 5 min (BOIL); (iii) a method similar to BOIL but it includes filtering and treating the sample with hydrogen peroxide before back-titrating (H10 1 ); and (iv) a modified Sobek method that adds H20 2 after the first hand titration (SobPer ). For samples con- taining primarily calcite, quartz, or clays, the NP values for a particular sample were similar among digestion methods. For samples containing pyrite, the SobPer method (no filtering) produced the lowest NP values. Siderite-containing samples showed wide variation in NP val- ues among methods. The H20 2 method decreased NP values of siderite samples compared to Sobek and BOIL methods. Lower NP values were generally obtained with autotitration vs. hand titration because autotitration added the base slowly, which allowed concurrent oxida- tion and hydrolysis of iron. Hand-titration of siderite samples requires H20 2 treatment to accelerate iron oxidation. Variation in NP values for a particular sample was high among three laboratories using the Sobek hand titration method, but the average variation in NP values among labs decreased by 66% when using the H20 2 hand method. Variation in NP values among labs was also due to the same samples being assigned different fizz ratings by laboratory technicians, which changed the concentration of acid added in the digestion procedure. With more acid, NP values generally increased, especially for siderite samples. A more quantitative approach is needed to determine the amount of acid to add for NP digestion, and the percent insoluble residue of the sample used in this study may be a good alternative but requires more testing and multilaboratory screening. The ABA values (using %Sand NP from the various methods) were compared with soxhlet leachate pH and cumulative alkalini\u2026", "author" : [ { "dropping-particle" : "", "family" : "Skousen", "given" : "J.", "non-dropping-particle" : "", "parse-names" : false, "suffix" : "" }, { "dropping-particle" : "", "family" : "Renton", "given" : "J.", "non-dropping-particle" : "", "parse-names" : false, "suffix" : "" }, { "dropping-particle" : "", "family" : "Brown", "given" : "H.", "non-dropping-particle" : "", "parse-names" : false, "suffix" : "" }, { "dropping-particle" : "", "family" : "Evans", "given" : "P.", "non-dropping-particle" : "", "parse-names" : false, "suffix" : "" }, { "dropping-particle" : "", "family" : "Leavitt", "given" : "B.", "non-dropping-particle" : "", "parse-names" : false, "suffix" : "" }, { "dropping-particle" : "", "family" : "Brady", "given" : "K.", "non-dropping-particle" : "", "parse-names" : false, "suffix" : "" }, { "dropping-particle" : "", "family" : "Cohen", "given" : "L.", "non-dropping-particle" : "", "parse-names" : false, "suffix" : "" }, { "dropping-particle" : "", "family" : "Ziemkiewicz", "given" : "P.", "non-dropping-particle" : "", "parse-names" : false, "suffix" : "" } ], "container-title" : "Journal of Environment Quality", "id" : "ITEM-1", "issued" : { "date-parts" : [ [ "1997" ] ] }, "page" : "673", "title" : "Neutralization Potential of Overburden Samples Containing Siderite", "type" : "article", "volume" : "26" }, "uris" : [ "http://www.mendeley.com/documents/?uuid=367031ac-a163-4aa9-834a-f93b9d1a281e" ] }, { "id" : "ITEM-2", "itemData" : { "abstract" : "Research was carried out to improve acid rock drainage (ARD) prediction methodologies, focussing on resolving uncertainties in acid base accounting (ABA) methods. Advancements, their application, and interpretation are reported. Consideration of both net acid production potential (NAPP) and net acid generation (NAG) test results provide a more reliable routine screening technique than either test alone, increasing confidence in acid potential classification and identifying apparent conflicts requiring further investigation. Techniques such as sequential NAG, modified organic carbon NAG, modified ANC methods to account for siderite and acid buffering characteristic curve (ABCC) testing can be used to help resolve these conflicts in a relatively short time frame. Samples with abundant siderite require complex modified ANC methods, involving excess addition of H2O2 to ensure all dissolved ferrous ion is oxidised before completion of the back titration step. It is demonstrated that at siderite abundances of less than 15 wt %, standard ANC methods are sufficient, improving the efficiency of ANC assessment by reducing the number of modified ANC tests required. Comparison of ABCC profiles with the developed set of standard carbonate curves provides an indication of the relative reactivity of the ANC measured in waste rock samples, something not evident in ANC test results alone. A relationship was established between kinetic NAG and leach column test results, which provides an indication of lag times without the need to carry out leach columns on all samples. This has the great advantage of allowing kinetic prediction on a broad sample set in a short time frame. The test refinements and developments described in this paper improve the reliability of ARD prediction from short duration tests, provide information on relative reactivity of acid forming and neutralising phases, and improve predictions of acid forming potential.", "author" : [ { "dropping-particle" : "", "family" : "Stewart", "given" : "Warwick A", "non-dropping-particle" : "", "parse-names" : false, "suffix" : "" }, { "dropping-particle" : "", "family" : "Miller", "given" : "Stuart D", "non-dropping-particle" : "", "parse-names" : false, "suffix" : "" }, { "dropping-particle" : "", "family" : "Smart", "given" : "Roger", "non-dropping-particle" : "", "parse-names" : false, "suffix" : "" } ], "container-title" : "Proc. 7th International Conference on Acid Rock Drainage. ICARD", "id" : "ITEM-2", "issued" : { "date-parts" : [ [ "2006" ] ] }, "page" : "2098 -2119", "publisher-place" : "St. Louis, Missouri, USA", "title" : "Advances in acid rock drainage (ARD) characterisation of mine wastes", "type" : "paper-conference" }, "uris" : [ "http://www.mendeley.com/documents/?uuid=fce2e392-6428-4715-8882-0873dfb28395" ] } ], "mendeley" : { "formattedCitation" : "[5,6]", "plainTextFormattedCitation" : "[5,6]", "previouslyFormattedCitation" : "[5,6]" }, "properties" : { "noteIndex" : 0 }, "schema" : "https://github.com/citation-style-language/schema/raw/master/csl-citation.json" }</w:instrText>
      </w:r>
      <w:r w:rsidR="008D795F">
        <w:rPr>
          <w:lang w:val="en-US"/>
        </w:rPr>
        <w:fldChar w:fldCharType="separate"/>
      </w:r>
      <w:r w:rsidR="00C94A7A" w:rsidRPr="00C94A7A">
        <w:rPr>
          <w:noProof/>
          <w:lang w:val="en-US"/>
        </w:rPr>
        <w:t>[5,6]</w:t>
      </w:r>
      <w:r w:rsidR="008D795F">
        <w:rPr>
          <w:lang w:val="en-US"/>
        </w:rPr>
        <w:fldChar w:fldCharType="end"/>
      </w:r>
      <w:r w:rsidR="008D795F">
        <w:rPr>
          <w:lang w:val="en-US"/>
        </w:rPr>
        <w:t xml:space="preserve">. </w:t>
      </w:r>
      <w:r w:rsidR="005356BF">
        <w:rPr>
          <w:lang w:val="en-US"/>
        </w:rPr>
        <w:t xml:space="preserve">The total </w:t>
      </w:r>
      <w:r w:rsidR="0094622C">
        <w:rPr>
          <w:lang w:val="en-US"/>
        </w:rPr>
        <w:t>sulfur of the discards</w:t>
      </w:r>
      <w:r>
        <w:rPr>
          <w:lang w:val="en-US"/>
        </w:rPr>
        <w:t xml:space="preserve"> (1.58%)</w:t>
      </w:r>
      <w:r w:rsidR="0094622C">
        <w:rPr>
          <w:lang w:val="en-US"/>
        </w:rPr>
        <w:t xml:space="preserve"> and benign tailings</w:t>
      </w:r>
      <w:r>
        <w:rPr>
          <w:lang w:val="en-US"/>
        </w:rPr>
        <w:t xml:space="preserve"> (0.78%)</w:t>
      </w:r>
      <w:r w:rsidR="0094622C">
        <w:rPr>
          <w:lang w:val="en-US"/>
        </w:rPr>
        <w:t xml:space="preserve"> were determined using </w:t>
      </w:r>
      <w:r w:rsidR="005356BF">
        <w:rPr>
          <w:lang w:val="en-US"/>
        </w:rPr>
        <w:t xml:space="preserve">a LECO sulfur analyser. </w:t>
      </w:r>
      <w:r w:rsidR="00865371">
        <w:rPr>
          <w:lang w:val="en-US"/>
        </w:rPr>
        <w:t>The interburden</w:t>
      </w:r>
      <w:r>
        <w:rPr>
          <w:lang w:val="en-US"/>
        </w:rPr>
        <w:t xml:space="preserve"> (ANC 20.46 kg</w:t>
      </w:r>
      <w:r w:rsidRPr="00FA42E1">
        <w:rPr>
          <w:vertAlign w:val="subscript"/>
          <w:lang w:val="en-US"/>
        </w:rPr>
        <w:t>H2SO4</w:t>
      </w:r>
      <w:r>
        <w:rPr>
          <w:lang w:val="en-US"/>
        </w:rPr>
        <w:t>/t, NAPP 27.99 kg</w:t>
      </w:r>
      <w:r w:rsidRPr="00FA42E1">
        <w:rPr>
          <w:vertAlign w:val="subscript"/>
          <w:lang w:val="en-US"/>
        </w:rPr>
        <w:t>H2SO4</w:t>
      </w:r>
      <w:r>
        <w:rPr>
          <w:lang w:val="en-US"/>
        </w:rPr>
        <w:t xml:space="preserve">/t) </w:t>
      </w:r>
      <w:r w:rsidR="00865371">
        <w:rPr>
          <w:lang w:val="en-US"/>
        </w:rPr>
        <w:t xml:space="preserve">was characterized as acid forming while the </w:t>
      </w:r>
      <w:r w:rsidR="00540628">
        <w:rPr>
          <w:lang w:val="en-US"/>
        </w:rPr>
        <w:t>desulfurised</w:t>
      </w:r>
      <w:r w:rsidR="00865371">
        <w:rPr>
          <w:lang w:val="en-US"/>
        </w:rPr>
        <w:t xml:space="preserve"> tailings </w:t>
      </w:r>
      <w:r w:rsidR="005356BF">
        <w:rPr>
          <w:lang w:val="en-US"/>
        </w:rPr>
        <w:t xml:space="preserve">non-acid </w:t>
      </w:r>
      <w:r w:rsidR="00865371">
        <w:rPr>
          <w:lang w:val="en-US"/>
        </w:rPr>
        <w:t>forming (</w:t>
      </w:r>
      <w:r>
        <w:rPr>
          <w:lang w:val="en-US"/>
        </w:rPr>
        <w:t>ANC 57.72 kg</w:t>
      </w:r>
      <w:r w:rsidRPr="00FA42E1">
        <w:rPr>
          <w:vertAlign w:val="subscript"/>
          <w:lang w:val="en-US"/>
        </w:rPr>
        <w:t>H2SO4</w:t>
      </w:r>
      <w:r>
        <w:rPr>
          <w:lang w:val="en-US"/>
        </w:rPr>
        <w:t>/t, NAPP -33.82 kg</w:t>
      </w:r>
      <w:r w:rsidRPr="00FA42E1">
        <w:rPr>
          <w:vertAlign w:val="subscript"/>
          <w:lang w:val="en-US"/>
        </w:rPr>
        <w:t>H2SO4</w:t>
      </w:r>
      <w:r>
        <w:rPr>
          <w:lang w:val="en-US"/>
        </w:rPr>
        <w:t>/t</w:t>
      </w:r>
      <w:r w:rsidR="00865371">
        <w:rPr>
          <w:lang w:val="en-US"/>
        </w:rPr>
        <w:t>).</w:t>
      </w:r>
    </w:p>
    <w:p w14:paraId="1984F3D1" w14:textId="77777777" w:rsidR="00DE347A" w:rsidRDefault="00DE347A" w:rsidP="00E33646">
      <w:pPr>
        <w:jc w:val="both"/>
        <w:rPr>
          <w:lang w:val="en-US"/>
        </w:rPr>
      </w:pPr>
    </w:p>
    <w:p w14:paraId="27CD57BC" w14:textId="108F139C" w:rsidR="00DD5F76" w:rsidRPr="00DD5F76" w:rsidRDefault="0092325A" w:rsidP="00E33646">
      <w:pPr>
        <w:jc w:val="both"/>
        <w:rPr>
          <w:b/>
          <w:lang w:val="en-US"/>
        </w:rPr>
      </w:pPr>
      <w:r>
        <w:rPr>
          <w:b/>
          <w:lang w:val="en-US"/>
        </w:rPr>
        <w:t>Test Columns</w:t>
      </w:r>
    </w:p>
    <w:p w14:paraId="40C02EB9" w14:textId="77777777" w:rsidR="00DD5F76" w:rsidRDefault="00DD5F76" w:rsidP="00E33646">
      <w:pPr>
        <w:jc w:val="both"/>
        <w:rPr>
          <w:lang w:val="en-US"/>
        </w:rPr>
      </w:pPr>
    </w:p>
    <w:p w14:paraId="7F2DA7A1" w14:textId="0959F08B" w:rsidR="00331C51" w:rsidRDefault="00A038D1" w:rsidP="00E33646">
      <w:pPr>
        <w:jc w:val="both"/>
        <w:rPr>
          <w:lang w:val="en-US"/>
        </w:rPr>
      </w:pPr>
      <w:r>
        <w:rPr>
          <w:lang w:val="en-US"/>
        </w:rPr>
        <w:t>Experiments</w:t>
      </w:r>
      <w:r w:rsidR="00E33646" w:rsidRPr="00E33646">
        <w:rPr>
          <w:lang w:val="en-US"/>
        </w:rPr>
        <w:t xml:space="preserve"> include</w:t>
      </w:r>
      <w:r>
        <w:rPr>
          <w:lang w:val="en-US"/>
        </w:rPr>
        <w:t>d</w:t>
      </w:r>
      <w:r w:rsidR="00E33646" w:rsidRPr="00E33646">
        <w:rPr>
          <w:lang w:val="en-US"/>
        </w:rPr>
        <w:t xml:space="preserve"> the concurrent operation of simulated ore beds with </w:t>
      </w:r>
      <w:r w:rsidR="00E33646" w:rsidRPr="00E33646">
        <w:rPr>
          <w:i/>
          <w:lang w:val="en-US"/>
        </w:rPr>
        <w:t>in situ</w:t>
      </w:r>
      <w:r w:rsidR="00E33646" w:rsidRPr="00E33646">
        <w:rPr>
          <w:lang w:val="en-US"/>
        </w:rPr>
        <w:t xml:space="preserve"> neutralization of acid generating interburden coal waste rock with de</w:t>
      </w:r>
      <w:r w:rsidR="00315709">
        <w:rPr>
          <w:lang w:val="en-US"/>
        </w:rPr>
        <w:t>sulf</w:t>
      </w:r>
      <w:r w:rsidR="005E65C6">
        <w:rPr>
          <w:lang w:val="en-US"/>
        </w:rPr>
        <w:t>urised tailings</w:t>
      </w:r>
      <w:r w:rsidR="00E33646" w:rsidRPr="00E33646">
        <w:rPr>
          <w:lang w:val="en-US"/>
        </w:rPr>
        <w:t xml:space="preserve">. </w:t>
      </w:r>
      <w:r w:rsidR="005E65C6">
        <w:rPr>
          <w:lang w:val="en-US"/>
        </w:rPr>
        <w:t>Test columns consisted of</w:t>
      </w:r>
      <w:r w:rsidR="005E65C6" w:rsidRPr="00E33646">
        <w:rPr>
          <w:lang w:val="en-US"/>
        </w:rPr>
        <w:t xml:space="preserve"> PVC columns (H x D = 1.1 x 0.1 m), oper</w:t>
      </w:r>
      <w:r w:rsidR="005E65C6">
        <w:rPr>
          <w:lang w:val="en-US"/>
        </w:rPr>
        <w:t>ated at ambient temperature and</w:t>
      </w:r>
      <w:r w:rsidR="005E65C6" w:rsidRPr="00E33646">
        <w:rPr>
          <w:lang w:val="en-US"/>
        </w:rPr>
        <w:t xml:space="preserve"> packed with a total 3.5 kg of either interburden waste rock (control columns) or a combination of interburden and de</w:t>
      </w:r>
      <w:r w:rsidR="005E65C6">
        <w:rPr>
          <w:lang w:val="en-US"/>
        </w:rPr>
        <w:t>sulf</w:t>
      </w:r>
      <w:r w:rsidR="005E65C6" w:rsidRPr="00E33646">
        <w:rPr>
          <w:lang w:val="en-US"/>
        </w:rPr>
        <w:t>urised tailings in varying configurations.</w:t>
      </w:r>
      <w:r w:rsidR="002F6589">
        <w:rPr>
          <w:lang w:val="en-US"/>
        </w:rPr>
        <w:t xml:space="preserve"> </w:t>
      </w:r>
      <w:r>
        <w:rPr>
          <w:lang w:val="en-US"/>
        </w:rPr>
        <w:t>C</w:t>
      </w:r>
      <w:r w:rsidR="005E65C6" w:rsidRPr="00E33646">
        <w:rPr>
          <w:lang w:val="en-US"/>
        </w:rPr>
        <w:t>o-disposed interburden coal with de</w:t>
      </w:r>
      <w:r w:rsidR="005E65C6">
        <w:rPr>
          <w:lang w:val="en-US"/>
        </w:rPr>
        <w:t>sulf</w:t>
      </w:r>
      <w:r w:rsidR="005E65C6" w:rsidRPr="00E33646">
        <w:rPr>
          <w:lang w:val="en-US"/>
        </w:rPr>
        <w:t xml:space="preserve">urised tailings </w:t>
      </w:r>
      <w:r w:rsidR="00EC0F86">
        <w:rPr>
          <w:lang w:val="en-US"/>
        </w:rPr>
        <w:t>wa</w:t>
      </w:r>
      <w:r w:rsidR="005E65C6" w:rsidRPr="00E33646">
        <w:rPr>
          <w:lang w:val="en-US"/>
        </w:rPr>
        <w:t xml:space="preserve">s investigated to minimize the infiltration of oxidants to the porous ore and void space within the bed. Consequently, in tests where the </w:t>
      </w:r>
      <w:r w:rsidR="00872A65">
        <w:rPr>
          <w:lang w:val="en-US"/>
        </w:rPr>
        <w:t>effectiveness of covers was investigated, columns were</w:t>
      </w:r>
      <w:r w:rsidR="005E65C6" w:rsidRPr="00E33646">
        <w:rPr>
          <w:lang w:val="en-US"/>
        </w:rPr>
        <w:t xml:space="preserve"> packed with four alternating laye</w:t>
      </w:r>
      <w:r w:rsidR="00872A65">
        <w:rPr>
          <w:lang w:val="en-US"/>
        </w:rPr>
        <w:t>rs of interburden with benign</w:t>
      </w:r>
      <w:r w:rsidR="005E65C6" w:rsidRPr="00E33646">
        <w:rPr>
          <w:lang w:val="en-US"/>
        </w:rPr>
        <w:t xml:space="preserve"> tailings.</w:t>
      </w:r>
      <w:r w:rsidR="00EC0F86">
        <w:rPr>
          <w:lang w:val="en-US"/>
        </w:rPr>
        <w:t xml:space="preserve"> Each layer </w:t>
      </w:r>
      <w:r w:rsidR="00872A65">
        <w:rPr>
          <w:lang w:val="en-US"/>
        </w:rPr>
        <w:t>wa</w:t>
      </w:r>
      <w:r w:rsidR="00EC0F86">
        <w:rPr>
          <w:lang w:val="en-US"/>
        </w:rPr>
        <w:t xml:space="preserve">s composed of 0.625 kg interburden followed by 0.250 kg </w:t>
      </w:r>
      <w:r w:rsidR="00540628">
        <w:rPr>
          <w:lang w:val="en-US"/>
        </w:rPr>
        <w:t>desulfurised</w:t>
      </w:r>
      <w:r w:rsidR="00EC0F86">
        <w:rPr>
          <w:lang w:val="en-US"/>
        </w:rPr>
        <w:t xml:space="preserve"> tailings. </w:t>
      </w:r>
      <w:r w:rsidR="00872A65">
        <w:rPr>
          <w:lang w:val="en-US"/>
        </w:rPr>
        <w:t>To further minimize permeable cavities that may be present, columns</w:t>
      </w:r>
      <w:r w:rsidR="005E65C6" w:rsidRPr="00E33646">
        <w:rPr>
          <w:lang w:val="en-US"/>
        </w:rPr>
        <w:t xml:space="preserve"> consisting of a blended mixture of interburden</w:t>
      </w:r>
      <w:r w:rsidR="00EC0F86">
        <w:rPr>
          <w:lang w:val="en-US"/>
        </w:rPr>
        <w:t xml:space="preserve"> (2.5 kg)</w:t>
      </w:r>
      <w:r w:rsidR="005E65C6" w:rsidRPr="00E33646">
        <w:rPr>
          <w:lang w:val="en-US"/>
        </w:rPr>
        <w:t xml:space="preserve"> and de</w:t>
      </w:r>
      <w:r w:rsidR="005E65C6">
        <w:rPr>
          <w:lang w:val="en-US"/>
        </w:rPr>
        <w:t>sulf</w:t>
      </w:r>
      <w:r w:rsidR="005E65C6" w:rsidRPr="00E33646">
        <w:rPr>
          <w:lang w:val="en-US"/>
        </w:rPr>
        <w:t>urised tailings</w:t>
      </w:r>
      <w:r w:rsidR="00EC0F86">
        <w:rPr>
          <w:lang w:val="en-US"/>
        </w:rPr>
        <w:t xml:space="preserve"> (1 kg)</w:t>
      </w:r>
      <w:r w:rsidR="005E65C6" w:rsidRPr="00E33646">
        <w:rPr>
          <w:lang w:val="en-US"/>
        </w:rPr>
        <w:t xml:space="preserve"> </w:t>
      </w:r>
      <w:r w:rsidR="00872A65">
        <w:rPr>
          <w:lang w:val="en-US"/>
        </w:rPr>
        <w:t>were also</w:t>
      </w:r>
      <w:r w:rsidR="005E65C6" w:rsidRPr="00E33646">
        <w:rPr>
          <w:lang w:val="en-US"/>
        </w:rPr>
        <w:t xml:space="preserve"> </w:t>
      </w:r>
      <w:r w:rsidR="00CA0670">
        <w:rPr>
          <w:lang w:val="en-US"/>
        </w:rPr>
        <w:t>pack</w:t>
      </w:r>
      <w:r w:rsidR="00CA0670" w:rsidRPr="00E33646">
        <w:rPr>
          <w:lang w:val="en-US"/>
        </w:rPr>
        <w:t>ed</w:t>
      </w:r>
      <w:r w:rsidR="005E65C6" w:rsidRPr="00E33646">
        <w:rPr>
          <w:lang w:val="en-US"/>
        </w:rPr>
        <w:t xml:space="preserve">. </w:t>
      </w:r>
      <w:r w:rsidR="002F6589">
        <w:rPr>
          <w:lang w:val="en-US"/>
        </w:rPr>
        <w:t>Due to compactness of packing, test columns were fitted with an overflow to collect any excess irrigant that did not permeate through the bed.</w:t>
      </w:r>
      <w:r w:rsidR="00331C51">
        <w:rPr>
          <w:lang w:val="en-US"/>
        </w:rPr>
        <w:t xml:space="preserve"> </w:t>
      </w:r>
    </w:p>
    <w:p w14:paraId="2122A716" w14:textId="77777777" w:rsidR="00331C51" w:rsidRDefault="00331C51" w:rsidP="00E33646">
      <w:pPr>
        <w:jc w:val="both"/>
        <w:rPr>
          <w:lang w:val="en-US"/>
        </w:rPr>
      </w:pPr>
    </w:p>
    <w:p w14:paraId="4C93FB49" w14:textId="1C28A3FD" w:rsidR="00E33646" w:rsidRPr="00E33646" w:rsidRDefault="00EC0F86" w:rsidP="00E33646">
      <w:pPr>
        <w:jc w:val="both"/>
        <w:rPr>
          <w:lang w:val="en-US"/>
        </w:rPr>
      </w:pPr>
      <w:r>
        <w:rPr>
          <w:lang w:val="en-US"/>
        </w:rPr>
        <w:t xml:space="preserve">The columns were irrigated from </w:t>
      </w:r>
      <w:r w:rsidR="00E20D58">
        <w:rPr>
          <w:lang w:val="en-US"/>
        </w:rPr>
        <w:t>above</w:t>
      </w:r>
      <w:r>
        <w:rPr>
          <w:lang w:val="en-US"/>
        </w:rPr>
        <w:t xml:space="preserve"> at 30 mL</w:t>
      </w:r>
      <w:r w:rsidR="005E65C6" w:rsidRPr="00E33646">
        <w:rPr>
          <w:lang w:val="en-US"/>
        </w:rPr>
        <w:t xml:space="preserve">/h with either water or </w:t>
      </w:r>
      <w:r w:rsidR="00E20D58">
        <w:rPr>
          <w:lang w:val="en-US"/>
        </w:rPr>
        <w:t xml:space="preserve">water </w:t>
      </w:r>
      <w:r w:rsidR="005E65C6" w:rsidRPr="00E33646">
        <w:rPr>
          <w:lang w:val="en-US"/>
        </w:rPr>
        <w:t xml:space="preserve">acidified with 96 – 98 % concentrated </w:t>
      </w:r>
      <w:r w:rsidR="005E65C6">
        <w:rPr>
          <w:lang w:val="en-US"/>
        </w:rPr>
        <w:t>sulf</w:t>
      </w:r>
      <w:r w:rsidR="005E65C6" w:rsidRPr="00E33646">
        <w:rPr>
          <w:lang w:val="en-US"/>
        </w:rPr>
        <w:t xml:space="preserve">uric acid adjusted to pH 2. </w:t>
      </w:r>
      <w:r w:rsidR="00E20D58">
        <w:rPr>
          <w:lang w:val="en-US"/>
        </w:rPr>
        <w:t xml:space="preserve">These columns were </w:t>
      </w:r>
      <w:r w:rsidR="00E20D58" w:rsidRPr="00E33646">
        <w:rPr>
          <w:lang w:val="en-US"/>
        </w:rPr>
        <w:t xml:space="preserve">either </w:t>
      </w:r>
      <w:r w:rsidR="00E20D58">
        <w:rPr>
          <w:lang w:val="en-US"/>
        </w:rPr>
        <w:t xml:space="preserve">inoculated with </w:t>
      </w:r>
      <w:r w:rsidR="00E20D58" w:rsidRPr="00E33646">
        <w:rPr>
          <w:lang w:val="en-US"/>
        </w:rPr>
        <w:t xml:space="preserve">a mixed culture of iron- and </w:t>
      </w:r>
      <w:r w:rsidR="00E20D58">
        <w:rPr>
          <w:lang w:val="en-US"/>
        </w:rPr>
        <w:t>sulf</w:t>
      </w:r>
      <w:r w:rsidR="00E20D58" w:rsidRPr="00E33646">
        <w:rPr>
          <w:lang w:val="en-US"/>
        </w:rPr>
        <w:t>ur-oxidising mesophilic microorganisms</w:t>
      </w:r>
      <w:r w:rsidR="00E20D58">
        <w:rPr>
          <w:lang w:val="en-US"/>
        </w:rPr>
        <w:t xml:space="preserve"> at </w:t>
      </w:r>
      <w:r w:rsidR="00E20D58" w:rsidRPr="00E33646">
        <w:rPr>
          <w:lang w:val="en-US"/>
        </w:rPr>
        <w:t>10</w:t>
      </w:r>
      <w:r w:rsidR="00E20D58" w:rsidRPr="00E33646">
        <w:rPr>
          <w:vertAlign w:val="superscript"/>
          <w:lang w:val="en-US"/>
        </w:rPr>
        <w:t>10</w:t>
      </w:r>
      <w:r w:rsidR="00E20D58" w:rsidRPr="00E33646">
        <w:rPr>
          <w:lang w:val="en-US"/>
        </w:rPr>
        <w:t xml:space="preserve"> cells </w:t>
      </w:r>
      <w:r w:rsidR="00E20D58">
        <w:rPr>
          <w:lang w:val="en-US"/>
        </w:rPr>
        <w:t>/</w:t>
      </w:r>
      <w:r w:rsidR="00E20D58" w:rsidRPr="00E33646">
        <w:rPr>
          <w:lang w:val="en-US"/>
        </w:rPr>
        <w:t xml:space="preserve"> ton ore</w:t>
      </w:r>
      <w:r w:rsidR="00E20D58">
        <w:rPr>
          <w:lang w:val="en-US"/>
        </w:rPr>
        <w:t xml:space="preserve"> (</w:t>
      </w:r>
      <w:r w:rsidR="00E20D58" w:rsidRPr="00E33646">
        <w:rPr>
          <w:lang w:val="en-US"/>
        </w:rPr>
        <w:t>biotic</w:t>
      </w:r>
      <w:r w:rsidR="00E20D58">
        <w:rPr>
          <w:lang w:val="en-US"/>
        </w:rPr>
        <w:t xml:space="preserve"> mode)</w:t>
      </w:r>
      <w:r w:rsidR="00E20D58" w:rsidRPr="00E33646">
        <w:rPr>
          <w:lang w:val="en-US"/>
        </w:rPr>
        <w:t xml:space="preserve"> or </w:t>
      </w:r>
      <w:r w:rsidR="00E20D58">
        <w:rPr>
          <w:lang w:val="en-US"/>
        </w:rPr>
        <w:t>uninoculated (</w:t>
      </w:r>
      <w:r w:rsidR="00E20D58" w:rsidRPr="00E33646">
        <w:rPr>
          <w:lang w:val="en-US"/>
        </w:rPr>
        <w:t>abiotic mode</w:t>
      </w:r>
      <w:r w:rsidR="00E20D58">
        <w:rPr>
          <w:lang w:val="en-US"/>
        </w:rPr>
        <w:t>).</w:t>
      </w:r>
      <w:r w:rsidR="00E20D58" w:rsidRPr="00E33646">
        <w:rPr>
          <w:lang w:val="en-US"/>
        </w:rPr>
        <w:t xml:space="preserve"> </w:t>
      </w:r>
      <w:r w:rsidR="005E65C6" w:rsidRPr="00E33646">
        <w:rPr>
          <w:lang w:val="en-US"/>
        </w:rPr>
        <w:t>The measured liquor volume, collecte</w:t>
      </w:r>
      <w:r>
        <w:rPr>
          <w:lang w:val="en-US"/>
        </w:rPr>
        <w:t>d at the column</w:t>
      </w:r>
      <w:r w:rsidR="00E20D58">
        <w:rPr>
          <w:lang w:val="en-US"/>
        </w:rPr>
        <w:t xml:space="preserve"> outlet</w:t>
      </w:r>
      <w:r>
        <w:rPr>
          <w:lang w:val="en-US"/>
        </w:rPr>
        <w:t>, wa</w:t>
      </w:r>
      <w:r w:rsidR="005E65C6" w:rsidRPr="00E33646">
        <w:rPr>
          <w:lang w:val="en-US"/>
        </w:rPr>
        <w:t>s analysed for pH, redox potential</w:t>
      </w:r>
      <w:r>
        <w:rPr>
          <w:lang w:val="en-US"/>
        </w:rPr>
        <w:t xml:space="preserve"> (Ag/AgCl SHE), </w:t>
      </w:r>
      <w:r w:rsidR="00E20D58">
        <w:rPr>
          <w:lang w:val="en-US"/>
        </w:rPr>
        <w:t>[Fe</w:t>
      </w:r>
      <w:r w:rsidR="00E20D58" w:rsidRPr="00820E1E">
        <w:rPr>
          <w:vertAlign w:val="superscript"/>
          <w:lang w:val="en-US"/>
        </w:rPr>
        <w:t>2+</w:t>
      </w:r>
      <w:r w:rsidR="00E20D58">
        <w:rPr>
          <w:lang w:val="en-US"/>
        </w:rPr>
        <w:t xml:space="preserve">] </w:t>
      </w:r>
      <w:r w:rsidR="005E65C6" w:rsidRPr="00E33646">
        <w:rPr>
          <w:lang w:val="en-US"/>
        </w:rPr>
        <w:t>and total iron concentration</w:t>
      </w:r>
      <w:r w:rsidR="00E851C5">
        <w:rPr>
          <w:lang w:val="en-US"/>
        </w:rPr>
        <w:t xml:space="preserve"> </w:t>
      </w:r>
      <w:r w:rsidR="00CA0670">
        <w:rPr>
          <w:lang w:val="en-US"/>
        </w:rPr>
        <w:t>[7]</w:t>
      </w:r>
      <w:r w:rsidR="005E65C6" w:rsidRPr="00E33646">
        <w:rPr>
          <w:lang w:val="en-US"/>
        </w:rPr>
        <w:t>. The latter concentrations, measured spectrophotometrically, provide an indication of the extent of the oxidation reactions and suitability of the mitigating procedure to minimiz</w:t>
      </w:r>
      <w:r w:rsidR="00E20D58">
        <w:rPr>
          <w:lang w:val="en-US"/>
        </w:rPr>
        <w:t>e</w:t>
      </w:r>
      <w:r w:rsidR="005E65C6" w:rsidRPr="00E33646">
        <w:rPr>
          <w:lang w:val="en-US"/>
        </w:rPr>
        <w:t xml:space="preserve"> ARD. </w:t>
      </w:r>
    </w:p>
    <w:p w14:paraId="641BF456" w14:textId="77777777" w:rsidR="00E33646" w:rsidRPr="00E33646" w:rsidRDefault="00E33646" w:rsidP="00E33646">
      <w:pPr>
        <w:jc w:val="both"/>
        <w:rPr>
          <w:lang w:val="en-US"/>
        </w:rPr>
      </w:pPr>
    </w:p>
    <w:p w14:paraId="66765519" w14:textId="77777777" w:rsidR="00EA0822" w:rsidRPr="00FB46BC" w:rsidRDefault="00EA0822" w:rsidP="007E504C">
      <w:pPr>
        <w:jc w:val="both"/>
        <w:rPr>
          <w:b/>
          <w:bCs/>
        </w:rPr>
      </w:pPr>
      <w:r w:rsidRPr="00FB46BC">
        <w:rPr>
          <w:b/>
          <w:bCs/>
        </w:rPr>
        <w:t>Results</w:t>
      </w:r>
      <w:r w:rsidR="00017BFE">
        <w:rPr>
          <w:b/>
          <w:bCs/>
        </w:rPr>
        <w:t xml:space="preserve"> and discussion</w:t>
      </w:r>
    </w:p>
    <w:p w14:paraId="22F6BC6B" w14:textId="77777777" w:rsidR="001A1E96" w:rsidRDefault="001A1E96" w:rsidP="009B556C">
      <w:pPr>
        <w:jc w:val="both"/>
        <w:rPr>
          <w:bCs/>
        </w:rPr>
      </w:pPr>
    </w:p>
    <w:p w14:paraId="23DE0879" w14:textId="22CE0C27" w:rsidR="00FF7A4B" w:rsidRDefault="00977FFB" w:rsidP="00D4334E">
      <w:pPr>
        <w:jc w:val="both"/>
        <w:rPr>
          <w:lang w:val="en-US"/>
        </w:rPr>
      </w:pPr>
      <w:r w:rsidRPr="00E33646">
        <w:rPr>
          <w:lang w:val="en-US"/>
        </w:rPr>
        <w:t>To establish the most efficient mode of operation</w:t>
      </w:r>
      <w:r w:rsidR="00D4334E">
        <w:rPr>
          <w:lang w:val="en-US"/>
        </w:rPr>
        <w:t>,</w:t>
      </w:r>
      <w:r w:rsidRPr="00E33646">
        <w:rPr>
          <w:lang w:val="en-US"/>
        </w:rPr>
        <w:t xml:space="preserve"> the </w:t>
      </w:r>
      <w:r w:rsidR="00CA0670">
        <w:rPr>
          <w:lang w:val="en-US"/>
        </w:rPr>
        <w:t xml:space="preserve">effect of </w:t>
      </w:r>
      <w:r w:rsidRPr="00E33646">
        <w:rPr>
          <w:lang w:val="en-US"/>
        </w:rPr>
        <w:t>packing configuration of co-disposed interburden coal with de</w:t>
      </w:r>
      <w:r>
        <w:rPr>
          <w:lang w:val="en-US"/>
        </w:rPr>
        <w:t>sulf</w:t>
      </w:r>
      <w:r w:rsidRPr="00E33646">
        <w:rPr>
          <w:lang w:val="en-US"/>
        </w:rPr>
        <w:t>urised tailings</w:t>
      </w:r>
      <w:r>
        <w:rPr>
          <w:lang w:val="en-US"/>
        </w:rPr>
        <w:t xml:space="preserve"> </w:t>
      </w:r>
      <w:r w:rsidR="00CA0670">
        <w:rPr>
          <w:lang w:val="en-US"/>
        </w:rPr>
        <w:t>on</w:t>
      </w:r>
      <w:r w:rsidR="00054773">
        <w:rPr>
          <w:lang w:val="en-US"/>
        </w:rPr>
        <w:t xml:space="preserve"> the evolution of leachate pH and redox potential </w:t>
      </w:r>
      <w:r w:rsidR="00CA0670">
        <w:rPr>
          <w:lang w:val="en-US"/>
        </w:rPr>
        <w:t xml:space="preserve">was determined </w:t>
      </w:r>
      <w:r w:rsidR="00054773">
        <w:rPr>
          <w:lang w:val="en-US"/>
        </w:rPr>
        <w:t>(Fig. 1).</w:t>
      </w:r>
      <w:r w:rsidR="00D4334E">
        <w:rPr>
          <w:lang w:val="en-US"/>
        </w:rPr>
        <w:t xml:space="preserve"> </w:t>
      </w:r>
      <w:r w:rsidR="00CA0670">
        <w:rPr>
          <w:lang w:val="en-US"/>
        </w:rPr>
        <w:t>We</w:t>
      </w:r>
      <w:r>
        <w:rPr>
          <w:lang w:val="en-US"/>
        </w:rPr>
        <w:t xml:space="preserve"> hypothesized that by</w:t>
      </w:r>
      <w:r w:rsidRPr="00E33646">
        <w:rPr>
          <w:lang w:val="en-US"/>
        </w:rPr>
        <w:t xml:space="preserve"> minimi</w:t>
      </w:r>
      <w:r>
        <w:rPr>
          <w:lang w:val="en-US"/>
        </w:rPr>
        <w:t>sing</w:t>
      </w:r>
      <w:r w:rsidRPr="00E33646">
        <w:rPr>
          <w:lang w:val="en-US"/>
        </w:rPr>
        <w:t xml:space="preserve"> the infiltration of oxidants to the porous ore and void space within the bed</w:t>
      </w:r>
      <w:r w:rsidR="00D4334E">
        <w:rPr>
          <w:lang w:val="en-US"/>
        </w:rPr>
        <w:t>,</w:t>
      </w:r>
      <w:r>
        <w:rPr>
          <w:lang w:val="en-US"/>
        </w:rPr>
        <w:t xml:space="preserve"> ARD generation </w:t>
      </w:r>
      <w:r w:rsidR="00CA0670">
        <w:rPr>
          <w:lang w:val="en-US"/>
        </w:rPr>
        <w:t>could be</w:t>
      </w:r>
      <w:r>
        <w:rPr>
          <w:lang w:val="en-US"/>
        </w:rPr>
        <w:t xml:space="preserve"> minimized or eliminated</w:t>
      </w:r>
      <w:r w:rsidRPr="00E33646">
        <w:rPr>
          <w:lang w:val="en-US"/>
        </w:rPr>
        <w:t>.</w:t>
      </w:r>
      <w:r w:rsidR="00054773">
        <w:rPr>
          <w:lang w:val="en-US"/>
        </w:rPr>
        <w:t xml:space="preserve"> </w:t>
      </w:r>
    </w:p>
    <w:p w14:paraId="14F8BDAF" w14:textId="77777777" w:rsidR="00CA0670" w:rsidRDefault="00CA0670" w:rsidP="00D4334E">
      <w:pPr>
        <w:jc w:val="both"/>
        <w:rPr>
          <w:lang w:val="en-US"/>
        </w:rPr>
      </w:pPr>
    </w:p>
    <w:p w14:paraId="4B9101A4" w14:textId="4BC2A007" w:rsidR="00CA0670" w:rsidRDefault="00CA0670" w:rsidP="00CA0670">
      <w:pPr>
        <w:jc w:val="both"/>
        <w:rPr>
          <w:bCs/>
        </w:rPr>
      </w:pPr>
      <w:r>
        <w:rPr>
          <w:lang w:val="en-US"/>
        </w:rPr>
        <w:t xml:space="preserve">The potential and rate of ARD generation is largely measured by the change in the system pH and the ferric-to-ferrous redox couple (Fig. 1). </w:t>
      </w:r>
      <w:r>
        <w:rPr>
          <w:bCs/>
        </w:rPr>
        <w:t xml:space="preserve"> </w:t>
      </w:r>
      <w:r w:rsidR="00D273A0">
        <w:rPr>
          <w:bCs/>
        </w:rPr>
        <w:t>On</w:t>
      </w:r>
      <w:r>
        <w:rPr>
          <w:bCs/>
        </w:rPr>
        <w:t xml:space="preserve"> irrigat</w:t>
      </w:r>
      <w:r w:rsidR="00D273A0">
        <w:rPr>
          <w:bCs/>
        </w:rPr>
        <w:t>ion</w:t>
      </w:r>
      <w:r>
        <w:rPr>
          <w:bCs/>
        </w:rPr>
        <w:t xml:space="preserve"> with water, and to a lesser extent acidified water, the pH rapidly dropped over the first 24 hours.  The initial decrease in pH, and consequently the redox potential, presented in all columns was attributed to the rapid oxidation of fine grain pyritic interburden particles promoting the transport of soluble metals Fe</w:t>
      </w:r>
      <w:r w:rsidRPr="00AB2CD1">
        <w:rPr>
          <w:bCs/>
          <w:vertAlign w:val="superscript"/>
        </w:rPr>
        <w:t>2+</w:t>
      </w:r>
      <w:r>
        <w:rPr>
          <w:bCs/>
        </w:rPr>
        <w:t xml:space="preserve"> and protons H</w:t>
      </w:r>
      <w:r w:rsidRPr="00AB2CD1">
        <w:rPr>
          <w:bCs/>
          <w:vertAlign w:val="superscript"/>
        </w:rPr>
        <w:t>+</w:t>
      </w:r>
      <w:r>
        <w:rPr>
          <w:bCs/>
        </w:rPr>
        <w:t xml:space="preserve"> into the </w:t>
      </w:r>
      <w:r>
        <w:rPr>
          <w:bCs/>
        </w:rPr>
        <w:lastRenderedPageBreak/>
        <w:t xml:space="preserve">aqueous phase. The initial liberation of ferrous ions into the solution phase and the presence of air, subsequently promoted acid consuming oxidation reactions forming ferric ions, increasing both the pH and redox potential. Following the ferric ion oxidation of sulfide minerals there was a net acid generation, and hence ARD potential, with a resulting decrease in pH. </w:t>
      </w:r>
    </w:p>
    <w:p w14:paraId="1604A740" w14:textId="77777777" w:rsidR="00CA0670" w:rsidRDefault="00CA0670" w:rsidP="00D4334E">
      <w:pPr>
        <w:jc w:val="both"/>
        <w:rPr>
          <w:bCs/>
        </w:rPr>
      </w:pPr>
    </w:p>
    <w:p w14:paraId="7E22A550" w14:textId="2C8C3DF0" w:rsidR="00977FFB" w:rsidRDefault="00977FFB" w:rsidP="00977FFB">
      <w:pPr>
        <w:pStyle w:val="Caption"/>
        <w:keepNex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6"/>
        <w:gridCol w:w="4816"/>
      </w:tblGrid>
      <w:tr w:rsidR="00C41383" w14:paraId="058AA217" w14:textId="77777777" w:rsidTr="00CD4991">
        <w:tc>
          <w:tcPr>
            <w:tcW w:w="4816" w:type="dxa"/>
          </w:tcPr>
          <w:p w14:paraId="1ADE69BA" w14:textId="7A581C65" w:rsidR="00C41383" w:rsidRDefault="00C41383" w:rsidP="006A694E">
            <w:pPr>
              <w:jc w:val="both"/>
              <w:rPr>
                <w:bCs/>
              </w:rPr>
            </w:pPr>
            <w:r>
              <w:rPr>
                <w:noProof/>
                <w:lang w:val="en-ZA" w:eastAsia="en-ZA"/>
              </w:rPr>
              <w:drawing>
                <wp:inline distT="0" distB="0" distL="0" distR="0" wp14:anchorId="434BA06A" wp14:editId="019FBBE9">
                  <wp:extent cx="2579623" cy="1689295"/>
                  <wp:effectExtent l="0" t="0" r="11430" b="0"/>
                  <wp:docPr id="1" name="Chart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tc>
        <w:tc>
          <w:tcPr>
            <w:tcW w:w="4816" w:type="dxa"/>
          </w:tcPr>
          <w:p w14:paraId="618ACB60" w14:textId="25B82C5B" w:rsidR="00C41383" w:rsidRDefault="00C41383" w:rsidP="006A694E">
            <w:pPr>
              <w:jc w:val="both"/>
              <w:rPr>
                <w:bCs/>
              </w:rPr>
            </w:pPr>
            <w:r>
              <w:rPr>
                <w:noProof/>
                <w:lang w:val="en-ZA" w:eastAsia="en-ZA"/>
              </w:rPr>
              <w:drawing>
                <wp:inline distT="0" distB="0" distL="0" distR="0" wp14:anchorId="258A711B" wp14:editId="6B501DCD">
                  <wp:extent cx="2581405" cy="1688660"/>
                  <wp:effectExtent l="0" t="0" r="9525" b="0"/>
                  <wp:docPr id="15" name="Chart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c>
      </w:tr>
      <w:tr w:rsidR="00C41383" w14:paraId="681BDF57" w14:textId="77777777" w:rsidTr="00CD4991">
        <w:tc>
          <w:tcPr>
            <w:tcW w:w="4816" w:type="dxa"/>
          </w:tcPr>
          <w:p w14:paraId="40E9408D" w14:textId="5C157335" w:rsidR="00C41383" w:rsidRPr="00CD4991" w:rsidRDefault="00C41383" w:rsidP="006A694E">
            <w:pPr>
              <w:jc w:val="both"/>
            </w:pPr>
            <w:r w:rsidRPr="00CD4991">
              <w:rPr>
                <w:noProof/>
                <w:lang w:val="en-ZA" w:eastAsia="en-ZA"/>
              </w:rPr>
              <w:drawing>
                <wp:inline distT="0" distB="0" distL="0" distR="0" wp14:anchorId="237B549D" wp14:editId="2DD5ED87">
                  <wp:extent cx="2580594" cy="1689930"/>
                  <wp:effectExtent l="0" t="0" r="10795" b="12065"/>
                  <wp:docPr id="10" name="Chart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c>
        <w:tc>
          <w:tcPr>
            <w:tcW w:w="4816" w:type="dxa"/>
          </w:tcPr>
          <w:p w14:paraId="4F5E3BCF" w14:textId="5DFEDA53" w:rsidR="00C41383" w:rsidRDefault="009066F0" w:rsidP="006A694E">
            <w:pPr>
              <w:jc w:val="both"/>
              <w:rPr>
                <w:bCs/>
              </w:rPr>
            </w:pPr>
            <w:r>
              <w:rPr>
                <w:noProof/>
                <w:lang w:val="en-ZA" w:eastAsia="en-ZA"/>
              </w:rPr>
              <w:drawing>
                <wp:inline distT="0" distB="0" distL="0" distR="0" wp14:anchorId="150A79F9" wp14:editId="1AFEF81C">
                  <wp:extent cx="2582420" cy="1689930"/>
                  <wp:effectExtent l="0" t="0" r="8890" b="12065"/>
                  <wp:docPr id="18" name="Chart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c>
      </w:tr>
      <w:tr w:rsidR="00C41383" w14:paraId="3D6F9E8F" w14:textId="77777777" w:rsidTr="00CD4991">
        <w:tc>
          <w:tcPr>
            <w:tcW w:w="4816" w:type="dxa"/>
          </w:tcPr>
          <w:p w14:paraId="10540505" w14:textId="4F95F971" w:rsidR="00C41383" w:rsidRDefault="00C41383" w:rsidP="006A694E">
            <w:pPr>
              <w:jc w:val="both"/>
              <w:rPr>
                <w:bCs/>
              </w:rPr>
            </w:pPr>
            <w:r>
              <w:rPr>
                <w:noProof/>
                <w:lang w:val="en-ZA" w:eastAsia="en-ZA"/>
              </w:rPr>
              <w:drawing>
                <wp:inline distT="0" distB="0" distL="0" distR="0" wp14:anchorId="55CEC3EE" wp14:editId="65A90A7A">
                  <wp:extent cx="2580594" cy="1689930"/>
                  <wp:effectExtent l="0" t="0" r="10795" b="12065"/>
                  <wp:docPr id="12" name="Chart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c>
          <w:tcPr>
            <w:tcW w:w="4816" w:type="dxa"/>
          </w:tcPr>
          <w:p w14:paraId="02514053" w14:textId="18950196" w:rsidR="00C41383" w:rsidRDefault="001C3385" w:rsidP="006A694E">
            <w:pPr>
              <w:jc w:val="both"/>
              <w:rPr>
                <w:bCs/>
              </w:rPr>
            </w:pPr>
            <w:r>
              <w:rPr>
                <w:noProof/>
                <w:lang w:val="en-ZA" w:eastAsia="en-ZA"/>
              </w:rPr>
              <w:drawing>
                <wp:inline distT="0" distB="0" distL="0" distR="0" wp14:anchorId="276A8DAB" wp14:editId="12B0CE61">
                  <wp:extent cx="2582420" cy="1689930"/>
                  <wp:effectExtent l="0" t="0" r="8890" b="12065"/>
                  <wp:docPr id="21" name="Chart 2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r>
    </w:tbl>
    <w:p w14:paraId="710D0046" w14:textId="77777777" w:rsidR="00CD4991" w:rsidRDefault="00CD4991" w:rsidP="00DE2CD9">
      <w:pPr>
        <w:jc w:val="both"/>
        <w:rPr>
          <w:b/>
          <w:bCs/>
        </w:rPr>
      </w:pPr>
    </w:p>
    <w:p w14:paraId="1826F29E" w14:textId="4CCD1B13" w:rsidR="00FF7A4B" w:rsidRDefault="00FF7A4B" w:rsidP="00DE2CD9">
      <w:pPr>
        <w:jc w:val="both"/>
      </w:pPr>
      <w:r w:rsidRPr="006B3A56">
        <w:rPr>
          <w:b/>
          <w:bCs/>
        </w:rPr>
        <w:t xml:space="preserve">Figure </w:t>
      </w:r>
      <w:r>
        <w:rPr>
          <w:b/>
          <w:bCs/>
        </w:rPr>
        <w:t>1</w:t>
      </w:r>
      <w:r w:rsidRPr="006B3A56">
        <w:rPr>
          <w:b/>
          <w:bCs/>
        </w:rPr>
        <w:t>.</w:t>
      </w:r>
      <w:r w:rsidR="00874FEF">
        <w:rPr>
          <w:bCs/>
        </w:rPr>
        <w:t xml:space="preserve"> </w:t>
      </w:r>
      <w:r w:rsidR="00D4334E">
        <w:rPr>
          <w:lang w:val="en-US"/>
        </w:rPr>
        <w:t>Leachate pH and redox potential for columns containing only interburden coal (control</w:t>
      </w:r>
      <w:r w:rsidR="001C18DB">
        <w:rPr>
          <w:lang w:val="en-US"/>
        </w:rPr>
        <w:t xml:space="preserve"> – 100% interburden</w:t>
      </w:r>
      <w:r w:rsidR="00D4334E">
        <w:rPr>
          <w:lang w:val="en-US"/>
        </w:rPr>
        <w:t xml:space="preserve">: a &amp; b), alternating layers of </w:t>
      </w:r>
      <w:r w:rsidR="00540628">
        <w:rPr>
          <w:lang w:val="en-US"/>
        </w:rPr>
        <w:t>desulfurised</w:t>
      </w:r>
      <w:r w:rsidR="00D4334E">
        <w:rPr>
          <w:lang w:val="en-US"/>
        </w:rPr>
        <w:t xml:space="preserve"> tailings with interburden (cover</w:t>
      </w:r>
      <w:r w:rsidR="001C18DB">
        <w:rPr>
          <w:lang w:val="en-US"/>
        </w:rPr>
        <w:t xml:space="preserve"> – 60% interburden + 40% de</w:t>
      </w:r>
      <w:r w:rsidR="00540628">
        <w:rPr>
          <w:lang w:val="en-US"/>
        </w:rPr>
        <w:t>sulf</w:t>
      </w:r>
      <w:r w:rsidR="001C18DB">
        <w:rPr>
          <w:lang w:val="en-US"/>
        </w:rPr>
        <w:t>urised tailings</w:t>
      </w:r>
      <w:r w:rsidR="00D4334E">
        <w:rPr>
          <w:lang w:val="en-US"/>
        </w:rPr>
        <w:t xml:space="preserve">: c &amp; d) and a blended mixture of interburden with </w:t>
      </w:r>
      <w:r w:rsidR="00540628">
        <w:rPr>
          <w:lang w:val="en-US"/>
        </w:rPr>
        <w:t>desulfurised</w:t>
      </w:r>
      <w:r w:rsidR="00D4334E">
        <w:rPr>
          <w:lang w:val="en-US"/>
        </w:rPr>
        <w:t xml:space="preserve"> tailings (blend</w:t>
      </w:r>
      <w:r w:rsidR="001C18DB">
        <w:rPr>
          <w:lang w:val="en-US"/>
        </w:rPr>
        <w:t xml:space="preserve"> – 60% interburden + 40% de</w:t>
      </w:r>
      <w:r w:rsidR="00540628">
        <w:rPr>
          <w:lang w:val="en-US"/>
        </w:rPr>
        <w:t>sulf</w:t>
      </w:r>
      <w:r w:rsidR="001C18DB">
        <w:rPr>
          <w:lang w:val="en-US"/>
        </w:rPr>
        <w:t>urised tailings</w:t>
      </w:r>
      <w:r w:rsidR="00D4334E">
        <w:rPr>
          <w:lang w:val="en-US"/>
        </w:rPr>
        <w:t>: e and f). In either configuration, the columns were irrigated with either water (</w:t>
      </w:r>
      <w:r w:rsidR="000B28B0" w:rsidRPr="00820E1E">
        <w:rPr>
          <w:rFonts w:ascii="Wingdings" w:hAnsi="Wingdings"/>
          <w:color w:val="8DB3E2" w:themeColor="text2" w:themeTint="66"/>
          <w:lang w:val="en-US"/>
        </w:rPr>
        <w:t></w:t>
      </w:r>
      <w:r w:rsidR="000B28B0">
        <w:rPr>
          <w:lang w:val="en-US"/>
        </w:rPr>
        <w:t>) or acidified water at pH 2 in either abiotic (</w:t>
      </w:r>
      <w:r w:rsidR="00D31458" w:rsidRPr="00820E1E">
        <w:rPr>
          <w:rFonts w:ascii="Wingdings" w:hAnsi="Wingdings"/>
          <w:color w:val="FF0000"/>
          <w:sz w:val="20"/>
          <w:szCs w:val="20"/>
          <w:lang w:val="en-US"/>
        </w:rPr>
        <w:t></w:t>
      </w:r>
      <w:r w:rsidR="000B28B0">
        <w:rPr>
          <w:lang w:val="en-US"/>
        </w:rPr>
        <w:t>) or biotic mode (</w:t>
      </w:r>
      <w:r w:rsidR="00D31458" w:rsidRPr="00820E1E">
        <w:rPr>
          <w:rFonts w:ascii="Wingdings" w:hAnsi="Wingdings"/>
          <w:color w:val="7030A0"/>
          <w:lang w:val="en-US"/>
        </w:rPr>
        <w:t></w:t>
      </w:r>
      <w:r w:rsidR="000B28B0">
        <w:rPr>
          <w:lang w:val="en-US"/>
        </w:rPr>
        <w:t>)</w:t>
      </w:r>
    </w:p>
    <w:p w14:paraId="29365358" w14:textId="77777777" w:rsidR="00FF7A4B" w:rsidRDefault="00FF7A4B" w:rsidP="00FF7A4B">
      <w:pPr>
        <w:jc w:val="both"/>
      </w:pPr>
    </w:p>
    <w:p w14:paraId="734A5DBA" w14:textId="31F5C233" w:rsidR="00114847" w:rsidRDefault="002308E9" w:rsidP="00114847">
      <w:pPr>
        <w:jc w:val="both"/>
        <w:rPr>
          <w:bCs/>
        </w:rPr>
      </w:pPr>
      <w:r>
        <w:rPr>
          <w:bCs/>
        </w:rPr>
        <w:t>In abiotic</w:t>
      </w:r>
      <w:r w:rsidR="00E9201F">
        <w:rPr>
          <w:bCs/>
        </w:rPr>
        <w:t xml:space="preserve"> and biotic</w:t>
      </w:r>
      <w:r>
        <w:rPr>
          <w:bCs/>
        </w:rPr>
        <w:t xml:space="preserve"> mode</w:t>
      </w:r>
      <w:r w:rsidR="00E9201F">
        <w:rPr>
          <w:bCs/>
        </w:rPr>
        <w:t>,</w:t>
      </w:r>
      <w:r>
        <w:rPr>
          <w:bCs/>
        </w:rPr>
        <w:t xml:space="preserve"> the </w:t>
      </w:r>
      <w:r w:rsidR="00E9201F">
        <w:rPr>
          <w:bCs/>
        </w:rPr>
        <w:t xml:space="preserve">pH of the </w:t>
      </w:r>
      <w:r>
        <w:rPr>
          <w:bCs/>
        </w:rPr>
        <w:t xml:space="preserve">control </w:t>
      </w:r>
      <w:r w:rsidR="006C5011">
        <w:rPr>
          <w:bCs/>
        </w:rPr>
        <w:t>column remained near the feed</w:t>
      </w:r>
      <w:r w:rsidR="00E9201F">
        <w:rPr>
          <w:bCs/>
        </w:rPr>
        <w:t xml:space="preserve"> pH 2 after the initial increase over the first 8 days (Fig. 1a). </w:t>
      </w:r>
      <w:r w:rsidR="009B6EC2">
        <w:rPr>
          <w:bCs/>
        </w:rPr>
        <w:t>While</w:t>
      </w:r>
      <w:r w:rsidR="00E9201F">
        <w:rPr>
          <w:bCs/>
        </w:rPr>
        <w:t xml:space="preserve"> the redox potential over this period increased to</w:t>
      </w:r>
      <w:r w:rsidR="009B6EC2">
        <w:rPr>
          <w:bCs/>
        </w:rPr>
        <w:t xml:space="preserve"> and remained</w:t>
      </w:r>
      <w:r w:rsidR="00E9201F">
        <w:rPr>
          <w:bCs/>
        </w:rPr>
        <w:t xml:space="preserve"> </w:t>
      </w:r>
      <w:r w:rsidR="00E9201F" w:rsidRPr="009B6EC2">
        <w:rPr>
          <w:bCs/>
          <w:i/>
        </w:rPr>
        <w:t>ca.</w:t>
      </w:r>
      <w:r w:rsidR="00E9201F">
        <w:rPr>
          <w:bCs/>
        </w:rPr>
        <w:t xml:space="preserve"> 640 mV </w:t>
      </w:r>
      <w:r w:rsidR="00B641C8">
        <w:rPr>
          <w:bCs/>
        </w:rPr>
        <w:t xml:space="preserve">(wrt to Ag/AgCl) </w:t>
      </w:r>
      <w:r w:rsidR="009B6EC2">
        <w:rPr>
          <w:bCs/>
        </w:rPr>
        <w:t>for</w:t>
      </w:r>
      <w:r w:rsidR="00E9201F">
        <w:rPr>
          <w:bCs/>
        </w:rPr>
        <w:t xml:space="preserve"> the duration of the test</w:t>
      </w:r>
      <w:r w:rsidR="009B6EC2">
        <w:rPr>
          <w:bCs/>
        </w:rPr>
        <w:t xml:space="preserve"> (Fig. 1b)</w:t>
      </w:r>
      <w:r w:rsidR="00E9201F">
        <w:rPr>
          <w:bCs/>
        </w:rPr>
        <w:t>.</w:t>
      </w:r>
      <w:r w:rsidR="009B6EC2">
        <w:rPr>
          <w:bCs/>
        </w:rPr>
        <w:t xml:space="preserve"> </w:t>
      </w:r>
      <w:r w:rsidR="00B641C8">
        <w:rPr>
          <w:bCs/>
        </w:rPr>
        <w:t xml:space="preserve">On introducing </w:t>
      </w:r>
      <w:r w:rsidR="006C5011">
        <w:rPr>
          <w:bCs/>
        </w:rPr>
        <w:t>desulf</w:t>
      </w:r>
      <w:r w:rsidR="00E9201F">
        <w:rPr>
          <w:bCs/>
        </w:rPr>
        <w:t>urised tailings as either a layered cover or a blend</w:t>
      </w:r>
      <w:r w:rsidR="009B6EC2">
        <w:rPr>
          <w:bCs/>
        </w:rPr>
        <w:t>ed mix wit</w:t>
      </w:r>
      <w:r w:rsidR="006C5011">
        <w:rPr>
          <w:bCs/>
        </w:rPr>
        <w:t>h interburden</w:t>
      </w:r>
      <w:r w:rsidR="009B6EC2">
        <w:rPr>
          <w:bCs/>
        </w:rPr>
        <w:t xml:space="preserve">, the pH and redox potential remained constant over the course of the experiment irrigated with water </w:t>
      </w:r>
      <w:r w:rsidR="00601266">
        <w:rPr>
          <w:bCs/>
        </w:rPr>
        <w:t>(Fig. 1 c – f)</w:t>
      </w:r>
      <w:r w:rsidR="009B6EC2">
        <w:rPr>
          <w:bCs/>
        </w:rPr>
        <w:t xml:space="preserve">. </w:t>
      </w:r>
      <w:r w:rsidR="006C5011">
        <w:rPr>
          <w:bCs/>
        </w:rPr>
        <w:t>The alkalinity of the de</w:t>
      </w:r>
      <w:r w:rsidR="00540628">
        <w:rPr>
          <w:bCs/>
        </w:rPr>
        <w:t>sulf</w:t>
      </w:r>
      <w:r w:rsidR="006C5011">
        <w:rPr>
          <w:bCs/>
        </w:rPr>
        <w:t>urised tailings in columns fed with</w:t>
      </w:r>
      <w:r w:rsidR="00B72C3E">
        <w:rPr>
          <w:bCs/>
        </w:rPr>
        <w:t xml:space="preserve"> water and</w:t>
      </w:r>
      <w:r w:rsidR="006C5011">
        <w:rPr>
          <w:bCs/>
        </w:rPr>
        <w:t xml:space="preserve"> acidified water at pH 2 successfully neutralised the net acid generation of the leaching reactions maintaining the pH at </w:t>
      </w:r>
      <w:r w:rsidR="006C5011" w:rsidRPr="00157494">
        <w:rPr>
          <w:bCs/>
          <w:i/>
        </w:rPr>
        <w:t>ca.</w:t>
      </w:r>
      <w:r w:rsidR="006C5011">
        <w:rPr>
          <w:bCs/>
        </w:rPr>
        <w:t xml:space="preserve"> </w:t>
      </w:r>
      <w:r w:rsidR="00157494">
        <w:rPr>
          <w:bCs/>
        </w:rPr>
        <w:t>7.4 (cover, Fig. 1c</w:t>
      </w:r>
      <w:r w:rsidR="006C5011">
        <w:rPr>
          <w:bCs/>
        </w:rPr>
        <w:t>) and 7.6 (</w:t>
      </w:r>
      <w:r w:rsidR="00157494">
        <w:rPr>
          <w:bCs/>
        </w:rPr>
        <w:t>blend, Fig. 1e</w:t>
      </w:r>
      <w:r w:rsidR="006C5011">
        <w:rPr>
          <w:bCs/>
        </w:rPr>
        <w:t>).</w:t>
      </w:r>
      <w:r w:rsidR="00157494">
        <w:rPr>
          <w:bCs/>
        </w:rPr>
        <w:t xml:space="preserve"> </w:t>
      </w:r>
      <w:r w:rsidR="00B72C3E">
        <w:rPr>
          <w:bCs/>
        </w:rPr>
        <w:t xml:space="preserve">Both column configurations, irrespective of the irrigation feed pH, showed potential to mitigate ARD by limiting the infiltration of oxidants to the </w:t>
      </w:r>
      <w:r w:rsidR="00B72C3E">
        <w:rPr>
          <w:bCs/>
        </w:rPr>
        <w:lastRenderedPageBreak/>
        <w:t>sulfide mineral surface. H</w:t>
      </w:r>
      <w:r w:rsidR="00157494">
        <w:rPr>
          <w:bCs/>
        </w:rPr>
        <w:t>owever</w:t>
      </w:r>
      <w:r w:rsidR="00B72C3E">
        <w:rPr>
          <w:bCs/>
        </w:rPr>
        <w:t xml:space="preserve">, </w:t>
      </w:r>
      <w:r w:rsidR="008D1B69">
        <w:rPr>
          <w:bCs/>
        </w:rPr>
        <w:t>the capacity</w:t>
      </w:r>
      <w:r w:rsidR="00B72C3E">
        <w:rPr>
          <w:bCs/>
        </w:rPr>
        <w:t xml:space="preserve"> of the </w:t>
      </w:r>
      <w:r w:rsidR="008D1B69">
        <w:rPr>
          <w:bCs/>
        </w:rPr>
        <w:t>layered covers of</w:t>
      </w:r>
      <w:r w:rsidR="009C2318">
        <w:rPr>
          <w:bCs/>
        </w:rPr>
        <w:t xml:space="preserve"> fine</w:t>
      </w:r>
      <w:r w:rsidR="008D1B69">
        <w:rPr>
          <w:bCs/>
        </w:rPr>
        <w:t xml:space="preserve"> </w:t>
      </w:r>
      <w:r w:rsidR="00B72C3E">
        <w:rPr>
          <w:bCs/>
        </w:rPr>
        <w:t>desulfurised tailings</w:t>
      </w:r>
      <w:r w:rsidR="008D1B69">
        <w:rPr>
          <w:bCs/>
        </w:rPr>
        <w:t xml:space="preserve"> to </w:t>
      </w:r>
      <w:r w:rsidR="00DB2BDF">
        <w:rPr>
          <w:bCs/>
        </w:rPr>
        <w:t>neutralise</w:t>
      </w:r>
      <w:r w:rsidR="008D1B69">
        <w:rPr>
          <w:bCs/>
        </w:rPr>
        <w:t xml:space="preserve"> the sulfide tailings</w:t>
      </w:r>
      <w:r w:rsidR="00B72C3E">
        <w:rPr>
          <w:bCs/>
        </w:rPr>
        <w:t xml:space="preserve"> decreased after 68 days</w:t>
      </w:r>
      <w:r w:rsidR="008D1B69">
        <w:rPr>
          <w:bCs/>
        </w:rPr>
        <w:t xml:space="preserve"> </w:t>
      </w:r>
      <w:r w:rsidR="00B72C3E">
        <w:rPr>
          <w:bCs/>
        </w:rPr>
        <w:t>for the</w:t>
      </w:r>
      <w:r w:rsidR="008D1B69">
        <w:rPr>
          <w:bCs/>
        </w:rPr>
        <w:t xml:space="preserve"> column operated in biotic</w:t>
      </w:r>
      <w:r w:rsidR="009C2318">
        <w:rPr>
          <w:bCs/>
        </w:rPr>
        <w:t xml:space="preserve"> mode</w:t>
      </w:r>
      <w:r w:rsidR="00DB2BDF">
        <w:rPr>
          <w:bCs/>
        </w:rPr>
        <w:t xml:space="preserve"> (Fig. 1 c and d)</w:t>
      </w:r>
      <w:r w:rsidR="009C2318">
        <w:rPr>
          <w:bCs/>
        </w:rPr>
        <w:t xml:space="preserve">. </w:t>
      </w:r>
      <w:r w:rsidR="00114847">
        <w:rPr>
          <w:bCs/>
        </w:rPr>
        <w:t>It is proposed that</w:t>
      </w:r>
      <w:r w:rsidR="00DB2BDF">
        <w:rPr>
          <w:bCs/>
        </w:rPr>
        <w:t>, prior to this,</w:t>
      </w:r>
      <w:r w:rsidR="00114847">
        <w:rPr>
          <w:bCs/>
        </w:rPr>
        <w:t xml:space="preserve"> the microbial activity within the biotic cover test was dormant contributi</w:t>
      </w:r>
      <w:r w:rsidR="00DB2BDF">
        <w:rPr>
          <w:bCs/>
        </w:rPr>
        <w:t>ng very little</w:t>
      </w:r>
      <w:r w:rsidR="00114847">
        <w:rPr>
          <w:bCs/>
        </w:rPr>
        <w:t xml:space="preserve"> to catalysing oxidation reactions. Thereafter, the microorganisms accelerate the microbial oxidation of ferrous ions in solution</w:t>
      </w:r>
      <w:r w:rsidR="00DB2BDF">
        <w:rPr>
          <w:bCs/>
        </w:rPr>
        <w:t xml:space="preserve"> promoting an increase in the redox potential</w:t>
      </w:r>
      <w:r w:rsidR="00320BD0">
        <w:rPr>
          <w:bCs/>
        </w:rPr>
        <w:t xml:space="preserve"> (</w:t>
      </w:r>
      <w:r w:rsidR="00DB2BDF">
        <w:rPr>
          <w:bCs/>
        </w:rPr>
        <w:t>Fig. 1d).</w:t>
      </w:r>
      <w:r w:rsidR="00503C90">
        <w:rPr>
          <w:bCs/>
        </w:rPr>
        <w:t xml:space="preserve"> The absence of microbial oxidation observed in blended columns are likely due to the tight packing of the mixture of </w:t>
      </w:r>
      <w:r w:rsidR="00540628">
        <w:rPr>
          <w:bCs/>
        </w:rPr>
        <w:t>desulfurised</w:t>
      </w:r>
      <w:r w:rsidR="00503C90">
        <w:rPr>
          <w:bCs/>
        </w:rPr>
        <w:t xml:space="preserve"> tailings and the interburden. Consequently, the void space within the packing was rigorously decreased </w:t>
      </w:r>
      <w:r w:rsidR="00B641C8">
        <w:rPr>
          <w:bCs/>
        </w:rPr>
        <w:t xml:space="preserve">limiting the </w:t>
      </w:r>
      <w:r w:rsidR="00F22FE7">
        <w:rPr>
          <w:bCs/>
        </w:rPr>
        <w:t>oxygen</w:t>
      </w:r>
      <w:r w:rsidR="00503C90">
        <w:rPr>
          <w:bCs/>
        </w:rPr>
        <w:t xml:space="preserve"> transfer </w:t>
      </w:r>
      <w:r w:rsidR="00F22FE7">
        <w:rPr>
          <w:bCs/>
        </w:rPr>
        <w:t>necessary</w:t>
      </w:r>
      <w:r w:rsidR="00503C90">
        <w:rPr>
          <w:bCs/>
        </w:rPr>
        <w:t xml:space="preserve"> for microbial growth</w:t>
      </w:r>
      <w:r w:rsidR="00B641C8">
        <w:rPr>
          <w:bCs/>
        </w:rPr>
        <w:t xml:space="preserve"> and pyrite ox</w:t>
      </w:r>
      <w:r w:rsidR="00E00253">
        <w:rPr>
          <w:bCs/>
        </w:rPr>
        <w:t>idation</w:t>
      </w:r>
      <w:r w:rsidR="00503C90">
        <w:rPr>
          <w:bCs/>
        </w:rPr>
        <w:t xml:space="preserve">. </w:t>
      </w:r>
    </w:p>
    <w:p w14:paraId="7C530D31" w14:textId="77777777" w:rsidR="00DB2BDF" w:rsidRDefault="00DB2BDF" w:rsidP="00114847">
      <w:pPr>
        <w:jc w:val="both"/>
        <w:rPr>
          <w:bCs/>
        </w:rPr>
      </w:pPr>
    </w:p>
    <w:p w14:paraId="518C98AC" w14:textId="448C9A0E" w:rsidR="00DB2BDF" w:rsidRDefault="00514905" w:rsidP="00114847">
      <w:pPr>
        <w:jc w:val="both"/>
        <w:rPr>
          <w:bCs/>
        </w:rPr>
      </w:pPr>
      <w:r>
        <w:rPr>
          <w:bCs/>
        </w:rPr>
        <w:t xml:space="preserve">The ability to blind the permeable reactive layer of the interburden decreased after 42 days in the abiotic blended column (Fig. 1 e and f). This was indicated by the gradual decrease in pH and redox potential up to </w:t>
      </w:r>
      <w:r w:rsidRPr="00514905">
        <w:rPr>
          <w:bCs/>
          <w:i/>
        </w:rPr>
        <w:t>ca.</w:t>
      </w:r>
      <w:r>
        <w:rPr>
          <w:bCs/>
        </w:rPr>
        <w:t xml:space="preserve"> 117 days</w:t>
      </w:r>
      <w:r w:rsidR="00D82C0B">
        <w:rPr>
          <w:bCs/>
        </w:rPr>
        <w:t xml:space="preserve"> </w:t>
      </w:r>
      <w:r w:rsidR="00F8725F">
        <w:rPr>
          <w:bCs/>
        </w:rPr>
        <w:t>and accelerated thereafter  (Fig. 1 c and d). T</w:t>
      </w:r>
      <w:r w:rsidR="00D82C0B">
        <w:rPr>
          <w:bCs/>
        </w:rPr>
        <w:t>he exit flow rate increased from 16 mL/h to 22 mL/h</w:t>
      </w:r>
      <w:r w:rsidR="00F8725F">
        <w:rPr>
          <w:bCs/>
        </w:rPr>
        <w:t xml:space="preserve"> during this period resulting in stable pH and redox potentials comparable with those in the control columns</w:t>
      </w:r>
      <w:r>
        <w:rPr>
          <w:bCs/>
        </w:rPr>
        <w:t xml:space="preserve"> (Fig. 1 c and d). </w:t>
      </w:r>
      <w:r w:rsidR="00D82C0B">
        <w:rPr>
          <w:bCs/>
        </w:rPr>
        <w:t xml:space="preserve">Excess feed </w:t>
      </w:r>
      <w:r w:rsidR="00F8725F">
        <w:rPr>
          <w:bCs/>
        </w:rPr>
        <w:t xml:space="preserve">to the column that did not pass through the ore bed </w:t>
      </w:r>
      <w:r w:rsidR="00D82C0B">
        <w:rPr>
          <w:bCs/>
        </w:rPr>
        <w:t>was collect</w:t>
      </w:r>
      <w:r w:rsidR="00FF7ABE">
        <w:rPr>
          <w:bCs/>
        </w:rPr>
        <w:t>ed</w:t>
      </w:r>
      <w:r w:rsidR="00D82C0B">
        <w:rPr>
          <w:bCs/>
        </w:rPr>
        <w:t xml:space="preserve"> </w:t>
      </w:r>
      <w:r w:rsidR="00D82C0B" w:rsidRPr="00D82C0B">
        <w:rPr>
          <w:bCs/>
          <w:i/>
        </w:rPr>
        <w:t>via</w:t>
      </w:r>
      <w:r w:rsidR="00D82C0B">
        <w:rPr>
          <w:bCs/>
        </w:rPr>
        <w:t>. the overflow</w:t>
      </w:r>
      <w:r w:rsidR="00F8725F">
        <w:rPr>
          <w:bCs/>
        </w:rPr>
        <w:t xml:space="preserve"> for columns packed with benign tailings</w:t>
      </w:r>
      <w:r w:rsidR="00D82C0B">
        <w:rPr>
          <w:bCs/>
        </w:rPr>
        <w:t>. T</w:t>
      </w:r>
      <w:r>
        <w:rPr>
          <w:bCs/>
        </w:rPr>
        <w:t>he feed rate remained constant for</w:t>
      </w:r>
      <w:r w:rsidR="00D82C0B">
        <w:rPr>
          <w:bCs/>
        </w:rPr>
        <w:t xml:space="preserve"> the test</w:t>
      </w:r>
      <w:r w:rsidR="00F8725F">
        <w:rPr>
          <w:bCs/>
        </w:rPr>
        <w:t>,</w:t>
      </w:r>
      <w:r w:rsidR="00BA46BF">
        <w:rPr>
          <w:bCs/>
        </w:rPr>
        <w:t xml:space="preserve"> resulting</w:t>
      </w:r>
      <w:r>
        <w:rPr>
          <w:bCs/>
        </w:rPr>
        <w:t xml:space="preserve"> </w:t>
      </w:r>
      <w:r w:rsidR="00832B49">
        <w:rPr>
          <w:bCs/>
        </w:rPr>
        <w:t xml:space="preserve">in </w:t>
      </w:r>
      <w:r w:rsidR="00D82C0B" w:rsidRPr="00E33646">
        <w:rPr>
          <w:lang w:val="en-US"/>
        </w:rPr>
        <w:t xml:space="preserve">preferential flow paths </w:t>
      </w:r>
      <w:r w:rsidR="00BA46BF">
        <w:rPr>
          <w:lang w:val="en-US"/>
        </w:rPr>
        <w:t>being</w:t>
      </w:r>
      <w:r w:rsidR="00D82C0B" w:rsidRPr="00E33646">
        <w:rPr>
          <w:lang w:val="en-US"/>
        </w:rPr>
        <w:t xml:space="preserve"> established</w:t>
      </w:r>
      <w:r w:rsidR="00D82C0B">
        <w:rPr>
          <w:lang w:val="en-US"/>
        </w:rPr>
        <w:t xml:space="preserve"> early</w:t>
      </w:r>
      <w:r w:rsidR="00D82C0B">
        <w:rPr>
          <w:bCs/>
        </w:rPr>
        <w:t xml:space="preserve"> </w:t>
      </w:r>
      <w:r w:rsidR="00D82C0B">
        <w:rPr>
          <w:bCs/>
        </w:rPr>
        <w:fldChar w:fldCharType="begin" w:fldLock="1"/>
      </w:r>
      <w:r w:rsidR="000C27D8">
        <w:rPr>
          <w:bCs/>
        </w:rPr>
        <w:instrText>ADDIN CSL_CITATION { "citationItems" : [ { "id" : "ITEM-1", "itemData" : { "DOI" : "10.1016/j.mineng.2005.02.006", "ISSN" : "08926875", "abstract" : "Heap leaching is a process extensively used by the mining industry to recover metals from large quantities of submarginal material resources. Understanding flow through a packed particle bed is important to enhance the performance of heap leaching with respect to design and operating considerations. The microstructure and connectivity of pore space are important features to describe detailed fluid flow phenomena in heap leaching operations. In this regard, a milli-CT scanner was used to determine the complex pore structure of a packed column before and after bioleaching of copper ore. The 3-D reconstructed images of complex pore structures obtained from the milli-CT scans were used for the analysis of saturated flow inside the leaching column based on lattice-Boltzmann (LB) simulations. \u00a9 2005 Elsevier Ltd. All rights reserved.", "author" : [ { "dropping-particle" : "", "family" : "Lin", "given" : "C. L.", "non-dropping-particle" : "", "parse-names" : false, "suffix" : "" }, { "dropping-particle" : "", "family" : "Miller", "given" : "J. D.", "non-dropping-particle" : "", "parse-names" : false, "suffix" : "" }, { "dropping-particle" : "", "family" : "Garcia", "given" : "C.", "non-dropping-particle" : "", "parse-names" : false, "suffix" : "" } ], "container-title" : "Minerals Engineering", "id" : "ITEM-1", "issued" : { "date-parts" : [ [ "2005" ] ] }, "page" : "1045-1051", "title" : "Saturated flow characteristics in column leaching as described by LB simulation", "type" : "article-journal", "volume" : "18" }, "uris" : [ "http://www.mendeley.com/documents/?uuid=2b620d63-3242-4c3f-9790-d2db4e1f8abf" ] } ], "mendeley" : { "formattedCitation" : "[7]", "plainTextFormattedCitation" : "[7]", "previouslyFormattedCitation" : "[7]" }, "properties" : { "noteIndex" : 0 }, "schema" : "https://github.com/citation-style-language/schema/raw/master/csl-citation.json" }</w:instrText>
      </w:r>
      <w:r w:rsidR="00D82C0B">
        <w:rPr>
          <w:bCs/>
        </w:rPr>
        <w:fldChar w:fldCharType="separate"/>
      </w:r>
      <w:r w:rsidR="00C94A7A" w:rsidRPr="00C94A7A">
        <w:rPr>
          <w:bCs/>
          <w:noProof/>
        </w:rPr>
        <w:t>[</w:t>
      </w:r>
      <w:r w:rsidR="00E851C5">
        <w:rPr>
          <w:bCs/>
          <w:noProof/>
        </w:rPr>
        <w:t>8</w:t>
      </w:r>
      <w:r w:rsidR="00C94A7A" w:rsidRPr="00C94A7A">
        <w:rPr>
          <w:bCs/>
          <w:noProof/>
        </w:rPr>
        <w:t>]</w:t>
      </w:r>
      <w:r w:rsidR="00D82C0B">
        <w:rPr>
          <w:bCs/>
        </w:rPr>
        <w:fldChar w:fldCharType="end"/>
      </w:r>
      <w:r w:rsidR="00D82C0B">
        <w:rPr>
          <w:bCs/>
        </w:rPr>
        <w:t xml:space="preserve">. </w:t>
      </w:r>
      <w:r w:rsidR="00832B49">
        <w:rPr>
          <w:lang w:val="en-US"/>
        </w:rPr>
        <w:t>With time</w:t>
      </w:r>
      <w:r w:rsidR="00D82C0B" w:rsidRPr="00E33646">
        <w:rPr>
          <w:lang w:val="en-US"/>
        </w:rPr>
        <w:t xml:space="preserve">, these paths </w:t>
      </w:r>
      <w:r w:rsidR="00BA46BF">
        <w:rPr>
          <w:lang w:val="en-US"/>
        </w:rPr>
        <w:t>likely</w:t>
      </w:r>
      <w:r w:rsidR="00D82C0B" w:rsidRPr="00E33646">
        <w:rPr>
          <w:lang w:val="en-US"/>
        </w:rPr>
        <w:t xml:space="preserve"> alter</w:t>
      </w:r>
      <w:r w:rsidR="00BA46BF">
        <w:rPr>
          <w:lang w:val="en-US"/>
        </w:rPr>
        <w:t>ed</w:t>
      </w:r>
      <w:r w:rsidR="00832B49">
        <w:rPr>
          <w:lang w:val="en-US"/>
        </w:rPr>
        <w:t xml:space="preserve"> culmina</w:t>
      </w:r>
      <w:r w:rsidR="00D82C0B" w:rsidRPr="00E33646">
        <w:rPr>
          <w:lang w:val="en-US"/>
        </w:rPr>
        <w:t>ting in</w:t>
      </w:r>
      <w:r w:rsidR="00832B49">
        <w:rPr>
          <w:lang w:val="en-US"/>
        </w:rPr>
        <w:t>to</w:t>
      </w:r>
      <w:r w:rsidR="00D82C0B" w:rsidRPr="00E33646">
        <w:rPr>
          <w:lang w:val="en-US"/>
        </w:rPr>
        <w:t xml:space="preserve"> </w:t>
      </w:r>
      <w:r w:rsidR="00832B49">
        <w:rPr>
          <w:lang w:val="en-US"/>
        </w:rPr>
        <w:t xml:space="preserve">the observed </w:t>
      </w:r>
      <w:r w:rsidR="00D82C0B" w:rsidRPr="00E33646">
        <w:rPr>
          <w:lang w:val="en-US"/>
        </w:rPr>
        <w:t>accelerated flows</w:t>
      </w:r>
      <w:r w:rsidR="00832B49">
        <w:rPr>
          <w:lang w:val="en-US"/>
        </w:rPr>
        <w:t xml:space="preserve"> due to reaction and a shift</w:t>
      </w:r>
      <w:r w:rsidR="00F8725F">
        <w:rPr>
          <w:lang w:val="en-US"/>
        </w:rPr>
        <w:t xml:space="preserve"> in fines</w:t>
      </w:r>
      <w:r w:rsidR="00832B49">
        <w:rPr>
          <w:lang w:val="en-US"/>
        </w:rPr>
        <w:t xml:space="preserve"> </w:t>
      </w:r>
      <w:r w:rsidR="00F8725F">
        <w:rPr>
          <w:lang w:val="en-US"/>
        </w:rPr>
        <w:t>with</w:t>
      </w:r>
      <w:r w:rsidR="00832B49">
        <w:rPr>
          <w:lang w:val="en-US"/>
        </w:rPr>
        <w:t>in the ore bed</w:t>
      </w:r>
      <w:r w:rsidR="00D82C0B">
        <w:rPr>
          <w:lang w:val="en-US"/>
        </w:rPr>
        <w:t xml:space="preserve">. </w:t>
      </w:r>
      <w:r w:rsidR="00BA46BF">
        <w:rPr>
          <w:lang w:val="en-US"/>
        </w:rPr>
        <w:t xml:space="preserve">With increasing solution contact and exposure of the mineral surface to the oxidants, the leaching reactions increased influencing the mitigating efficiency of the blended tailings. </w:t>
      </w:r>
      <w:r w:rsidR="00FF7ABE">
        <w:rPr>
          <w:lang w:val="en-US"/>
        </w:rPr>
        <w:t>This phenomenon was not observed in the remaining columns</w:t>
      </w:r>
      <w:r w:rsidR="00832B49">
        <w:rPr>
          <w:lang w:val="en-US"/>
        </w:rPr>
        <w:t xml:space="preserve"> </w:t>
      </w:r>
      <w:r w:rsidR="00E00253">
        <w:rPr>
          <w:lang w:val="en-US"/>
        </w:rPr>
        <w:t xml:space="preserve">where </w:t>
      </w:r>
      <w:r w:rsidR="00832B49">
        <w:rPr>
          <w:lang w:val="en-US"/>
        </w:rPr>
        <w:t>mean residence times of liquor remain</w:t>
      </w:r>
      <w:r w:rsidR="00E00253">
        <w:rPr>
          <w:lang w:val="en-US"/>
        </w:rPr>
        <w:t>ed</w:t>
      </w:r>
      <w:r w:rsidR="00832B49">
        <w:rPr>
          <w:lang w:val="en-US"/>
        </w:rPr>
        <w:t xml:space="preserve"> constant. Her</w:t>
      </w:r>
      <w:r w:rsidR="00E00253">
        <w:rPr>
          <w:lang w:val="en-US"/>
        </w:rPr>
        <w:t>e</w:t>
      </w:r>
      <w:r w:rsidR="00832B49">
        <w:rPr>
          <w:lang w:val="en-US"/>
        </w:rPr>
        <w:t>, due to the</w:t>
      </w:r>
      <w:r w:rsidR="00E00253">
        <w:rPr>
          <w:lang w:val="en-US"/>
        </w:rPr>
        <w:t>ir</w:t>
      </w:r>
      <w:r w:rsidR="00832B49">
        <w:rPr>
          <w:lang w:val="en-US"/>
        </w:rPr>
        <w:t xml:space="preserve"> packing efficiency</w:t>
      </w:r>
      <w:r w:rsidR="00E00253">
        <w:rPr>
          <w:lang w:val="en-US"/>
        </w:rPr>
        <w:t>,</w:t>
      </w:r>
      <w:r w:rsidR="00832B49">
        <w:rPr>
          <w:lang w:val="en-US"/>
        </w:rPr>
        <w:t xml:space="preserve"> the columns were saturated creating a</w:t>
      </w:r>
      <w:r w:rsidR="00F8725F">
        <w:rPr>
          <w:lang w:val="en-US"/>
        </w:rPr>
        <w:t>n</w:t>
      </w:r>
      <w:r w:rsidR="00832B49">
        <w:rPr>
          <w:lang w:val="en-US"/>
        </w:rPr>
        <w:t xml:space="preserve"> aqueo</w:t>
      </w:r>
      <w:r w:rsidR="00F8725F">
        <w:rPr>
          <w:lang w:val="en-US"/>
        </w:rPr>
        <w:t>us cover which further enhanced the mitigating efficiency of the de</w:t>
      </w:r>
      <w:r w:rsidR="00540628">
        <w:rPr>
          <w:lang w:val="en-US"/>
        </w:rPr>
        <w:t>sulf</w:t>
      </w:r>
      <w:r w:rsidR="00F8725F">
        <w:rPr>
          <w:lang w:val="en-US"/>
        </w:rPr>
        <w:t xml:space="preserve">urised tailings </w:t>
      </w:r>
      <w:r w:rsidR="00E00253">
        <w:rPr>
          <w:lang w:val="en-US"/>
        </w:rPr>
        <w:t xml:space="preserve">on </w:t>
      </w:r>
      <w:r w:rsidR="00F8725F">
        <w:rPr>
          <w:lang w:val="en-US"/>
        </w:rPr>
        <w:t>ARD generation</w:t>
      </w:r>
      <w:r w:rsidR="00832B49">
        <w:rPr>
          <w:lang w:val="en-US"/>
        </w:rPr>
        <w:t>.</w:t>
      </w:r>
    </w:p>
    <w:p w14:paraId="11F01B2B" w14:textId="77777777" w:rsidR="00E174A2" w:rsidRDefault="00E174A2" w:rsidP="007D31CF">
      <w:pPr>
        <w:jc w:val="both"/>
      </w:pPr>
    </w:p>
    <w:p w14:paraId="40A95FD3" w14:textId="77777777" w:rsidR="00E1299A" w:rsidRDefault="00E1299A" w:rsidP="001268CA">
      <w:pPr>
        <w:jc w:val="both"/>
        <w:rPr>
          <w:b/>
        </w:rPr>
      </w:pPr>
      <w:r w:rsidRPr="00E1299A">
        <w:rPr>
          <w:b/>
        </w:rPr>
        <w:t>Conclusions</w:t>
      </w:r>
    </w:p>
    <w:p w14:paraId="3CCE08AE" w14:textId="77777777" w:rsidR="006E18D6" w:rsidRPr="00E1299A" w:rsidRDefault="006E18D6" w:rsidP="001268CA">
      <w:pPr>
        <w:jc w:val="both"/>
        <w:rPr>
          <w:b/>
        </w:rPr>
      </w:pPr>
    </w:p>
    <w:p w14:paraId="445D6616" w14:textId="1AE61123" w:rsidR="004C0D1D" w:rsidRPr="00DD370F" w:rsidRDefault="00731C62" w:rsidP="00546125">
      <w:pPr>
        <w:jc w:val="both"/>
        <w:rPr>
          <w:lang w:val="en-US"/>
        </w:rPr>
      </w:pPr>
      <w:r>
        <w:rPr>
          <w:lang w:val="en-US"/>
        </w:rPr>
        <w:t xml:space="preserve">The efficiency of utilizing benign desulfurised tailings packed with acid generating interburden to </w:t>
      </w:r>
      <w:r w:rsidR="004C0D1D" w:rsidRPr="00DD370F">
        <w:rPr>
          <w:lang w:val="en-US"/>
        </w:rPr>
        <w:t>simultaneously blind the ore surface</w:t>
      </w:r>
      <w:r w:rsidR="00AA710A">
        <w:rPr>
          <w:lang w:val="en-US"/>
        </w:rPr>
        <w:t>,</w:t>
      </w:r>
      <w:r w:rsidR="004C0D1D" w:rsidRPr="00DD370F">
        <w:rPr>
          <w:lang w:val="en-US"/>
        </w:rPr>
        <w:t xml:space="preserve"> minimize weathering </w:t>
      </w:r>
      <w:r w:rsidR="00AA710A">
        <w:rPr>
          <w:lang w:val="en-US"/>
        </w:rPr>
        <w:t>and neutralise</w:t>
      </w:r>
      <w:r w:rsidR="004C0D1D" w:rsidRPr="00DD370F">
        <w:rPr>
          <w:lang w:val="en-US"/>
        </w:rPr>
        <w:t xml:space="preserve"> leaching reactions </w:t>
      </w:r>
      <w:r>
        <w:rPr>
          <w:lang w:val="en-US"/>
        </w:rPr>
        <w:t>was studied</w:t>
      </w:r>
      <w:r w:rsidR="004C0D1D" w:rsidRPr="00DD370F">
        <w:rPr>
          <w:lang w:val="en-US"/>
        </w:rPr>
        <w:t>. By increasing the solution re</w:t>
      </w:r>
      <w:r w:rsidR="00503C90">
        <w:rPr>
          <w:lang w:val="en-US"/>
        </w:rPr>
        <w:t>sidence time, an aqueous cover wa</w:t>
      </w:r>
      <w:r w:rsidR="004C0D1D" w:rsidRPr="00DD370F">
        <w:rPr>
          <w:lang w:val="en-US"/>
        </w:rPr>
        <w:t xml:space="preserve">s formed evolving into a bifunctional mitigating measure. </w:t>
      </w:r>
      <w:r w:rsidR="00503C90">
        <w:rPr>
          <w:lang w:val="en-US"/>
        </w:rPr>
        <w:t xml:space="preserve">In biotic mode, there was a significant </w:t>
      </w:r>
      <w:r>
        <w:rPr>
          <w:lang w:val="en-US"/>
        </w:rPr>
        <w:t>delay</w:t>
      </w:r>
      <w:r w:rsidR="00503C90">
        <w:rPr>
          <w:lang w:val="en-US"/>
        </w:rPr>
        <w:t xml:space="preserve"> prior to </w:t>
      </w:r>
      <w:r>
        <w:rPr>
          <w:lang w:val="en-US"/>
        </w:rPr>
        <w:t>microbial acitivity. Only c</w:t>
      </w:r>
      <w:r w:rsidR="000B34C0">
        <w:rPr>
          <w:lang w:val="en-US"/>
        </w:rPr>
        <w:t>olumns utilising</w:t>
      </w:r>
      <w:r w:rsidR="00503C90">
        <w:rPr>
          <w:lang w:val="en-US"/>
        </w:rPr>
        <w:t xml:space="preserve"> </w:t>
      </w:r>
      <w:r w:rsidR="00540628">
        <w:rPr>
          <w:lang w:val="en-US"/>
        </w:rPr>
        <w:t>desulfurised</w:t>
      </w:r>
      <w:r w:rsidR="00503C90">
        <w:rPr>
          <w:lang w:val="en-US"/>
        </w:rPr>
        <w:t xml:space="preserve"> tailings as a cover</w:t>
      </w:r>
      <w:r w:rsidR="00FB7E1D">
        <w:rPr>
          <w:lang w:val="en-US"/>
        </w:rPr>
        <w:t xml:space="preserve"> were</w:t>
      </w:r>
      <w:r>
        <w:rPr>
          <w:lang w:val="en-US"/>
        </w:rPr>
        <w:t xml:space="preserve"> appreciably</w:t>
      </w:r>
      <w:r w:rsidR="00FB7E1D">
        <w:rPr>
          <w:lang w:val="en-US"/>
        </w:rPr>
        <w:t xml:space="preserve"> affected</w:t>
      </w:r>
      <w:r w:rsidR="00503C90">
        <w:rPr>
          <w:lang w:val="en-US"/>
        </w:rPr>
        <w:t xml:space="preserve">. </w:t>
      </w:r>
      <w:r w:rsidR="00546125">
        <w:rPr>
          <w:lang w:val="en-US"/>
        </w:rPr>
        <w:t>Mass transfer limitations imposed by the compactness of blended columns attributed to microbial inactivity enhancing the</w:t>
      </w:r>
      <w:r w:rsidR="000B34C0">
        <w:rPr>
          <w:lang w:val="en-US"/>
        </w:rPr>
        <w:t xml:space="preserve"> </w:t>
      </w:r>
      <w:r w:rsidR="00546125">
        <w:rPr>
          <w:lang w:val="en-US"/>
        </w:rPr>
        <w:t>efficiency</w:t>
      </w:r>
      <w:r w:rsidR="000B34C0">
        <w:rPr>
          <w:lang w:val="en-US"/>
        </w:rPr>
        <w:t xml:space="preserve"> of the mitigating procedure. </w:t>
      </w:r>
      <w:r w:rsidR="00546125">
        <w:rPr>
          <w:lang w:val="en-US"/>
        </w:rPr>
        <w:t>The efficacy of the preventative measure</w:t>
      </w:r>
      <w:r w:rsidR="000B34C0">
        <w:rPr>
          <w:lang w:val="en-US"/>
        </w:rPr>
        <w:t xml:space="preserve"> was </w:t>
      </w:r>
      <w:r w:rsidR="00546125">
        <w:rPr>
          <w:lang w:val="en-US"/>
        </w:rPr>
        <w:t>largely dependent the ability to restrict</w:t>
      </w:r>
      <w:r w:rsidR="000B34C0">
        <w:rPr>
          <w:lang w:val="en-US"/>
        </w:rPr>
        <w:t xml:space="preserve"> flow. </w:t>
      </w:r>
      <w:r w:rsidR="004C0D1D" w:rsidRPr="00DD370F">
        <w:rPr>
          <w:lang w:val="en-US"/>
        </w:rPr>
        <w:t>Columns loaded as alternating layer</w:t>
      </w:r>
      <w:r w:rsidR="00DD044C">
        <w:rPr>
          <w:lang w:val="en-US"/>
        </w:rPr>
        <w:t>ed covers</w:t>
      </w:r>
      <w:r w:rsidR="004C0D1D" w:rsidRPr="00DD370F">
        <w:rPr>
          <w:lang w:val="en-US"/>
        </w:rPr>
        <w:t xml:space="preserve"> </w:t>
      </w:r>
      <w:r w:rsidR="000B34C0">
        <w:rPr>
          <w:lang w:val="en-US"/>
        </w:rPr>
        <w:t xml:space="preserve">of </w:t>
      </w:r>
      <w:r w:rsidR="004C0D1D" w:rsidRPr="00DD370F">
        <w:rPr>
          <w:lang w:val="en-US"/>
        </w:rPr>
        <w:t>de</w:t>
      </w:r>
      <w:r w:rsidR="004C0D1D">
        <w:rPr>
          <w:lang w:val="en-US"/>
        </w:rPr>
        <w:t>sulf</w:t>
      </w:r>
      <w:r w:rsidR="004C0D1D" w:rsidRPr="00DD370F">
        <w:rPr>
          <w:lang w:val="en-US"/>
        </w:rPr>
        <w:t xml:space="preserve">urised tailings </w:t>
      </w:r>
      <w:r w:rsidR="000B34C0">
        <w:rPr>
          <w:lang w:val="en-US"/>
        </w:rPr>
        <w:t>in abiotic operation</w:t>
      </w:r>
      <w:r w:rsidR="000B34C0" w:rsidRPr="000B34C0">
        <w:rPr>
          <w:lang w:val="en-US"/>
        </w:rPr>
        <w:t xml:space="preserve"> </w:t>
      </w:r>
      <w:r w:rsidR="00EA03AC">
        <w:rPr>
          <w:lang w:val="en-US"/>
        </w:rPr>
        <w:t xml:space="preserve">appeared, in the short-term, to </w:t>
      </w:r>
      <w:r w:rsidR="004C0D1D" w:rsidRPr="00DD370F">
        <w:rPr>
          <w:lang w:val="en-US"/>
        </w:rPr>
        <w:t xml:space="preserve">maintain the pH above neutral conditions with </w:t>
      </w:r>
      <w:r w:rsidR="00EA03AC">
        <w:rPr>
          <w:lang w:val="en-US"/>
        </w:rPr>
        <w:t xml:space="preserve">the </w:t>
      </w:r>
      <w:r w:rsidR="004C0D1D" w:rsidRPr="00DD370F">
        <w:rPr>
          <w:lang w:val="en-US"/>
        </w:rPr>
        <w:t>least amount of leaching occurring</w:t>
      </w:r>
      <w:r w:rsidR="00EA03AC">
        <w:rPr>
          <w:lang w:val="en-US"/>
        </w:rPr>
        <w:t xml:space="preserve">. </w:t>
      </w:r>
    </w:p>
    <w:p w14:paraId="0FA5D590" w14:textId="77777777" w:rsidR="00E1299A" w:rsidRPr="00B55677" w:rsidRDefault="00E1299A" w:rsidP="001268CA">
      <w:pPr>
        <w:jc w:val="both"/>
      </w:pPr>
    </w:p>
    <w:p w14:paraId="67FEB8BF" w14:textId="77777777" w:rsidR="00017BFE" w:rsidRDefault="006E18D6" w:rsidP="00BD0F5F">
      <w:pPr>
        <w:jc w:val="both"/>
        <w:rPr>
          <w:b/>
          <w:bCs/>
        </w:rPr>
      </w:pPr>
      <w:r w:rsidRPr="006E18D6">
        <w:rPr>
          <w:b/>
          <w:bCs/>
        </w:rPr>
        <w:t>References</w:t>
      </w:r>
    </w:p>
    <w:p w14:paraId="12FCA05A" w14:textId="77777777" w:rsidR="008D795F" w:rsidRPr="00820E1E" w:rsidRDefault="008D795F" w:rsidP="00C94A7A">
      <w:pPr>
        <w:jc w:val="both"/>
        <w:rPr>
          <w:b/>
          <w:bCs/>
          <w:sz w:val="22"/>
          <w:szCs w:val="22"/>
        </w:rPr>
      </w:pPr>
    </w:p>
    <w:p w14:paraId="363A1113" w14:textId="036DA6AA" w:rsidR="000C27D8" w:rsidRPr="00820E1E" w:rsidRDefault="002E7677" w:rsidP="000C27D8">
      <w:pPr>
        <w:pStyle w:val="NormalWeb"/>
        <w:spacing w:before="0" w:beforeAutospacing="0" w:after="0" w:afterAutospacing="0"/>
        <w:ind w:left="641" w:hanging="641"/>
        <w:divId w:val="416756543"/>
        <w:rPr>
          <w:rFonts w:eastAsiaTheme="minorEastAsia"/>
          <w:noProof/>
          <w:sz w:val="22"/>
          <w:szCs w:val="22"/>
        </w:rPr>
      </w:pPr>
      <w:r w:rsidRPr="00820E1E">
        <w:rPr>
          <w:sz w:val="22"/>
          <w:szCs w:val="22"/>
          <w:lang w:val="en-US"/>
        </w:rPr>
        <w:fldChar w:fldCharType="begin" w:fldLock="1"/>
      </w:r>
      <w:r w:rsidRPr="00820E1E">
        <w:rPr>
          <w:sz w:val="22"/>
          <w:szCs w:val="22"/>
          <w:lang w:val="en-US"/>
        </w:rPr>
        <w:instrText xml:space="preserve">ADDIN Mendeley Bibliography CSL_BIBLIOGRAPHY </w:instrText>
      </w:r>
      <w:r w:rsidRPr="00820E1E">
        <w:rPr>
          <w:sz w:val="22"/>
          <w:szCs w:val="22"/>
          <w:lang w:val="en-US"/>
        </w:rPr>
        <w:fldChar w:fldCharType="separate"/>
      </w:r>
      <w:r w:rsidR="000C27D8" w:rsidRPr="00820E1E">
        <w:rPr>
          <w:noProof/>
          <w:sz w:val="22"/>
          <w:szCs w:val="22"/>
        </w:rPr>
        <w:t>[1]</w:t>
      </w:r>
      <w:r w:rsidR="000C27D8" w:rsidRPr="00820E1E">
        <w:rPr>
          <w:noProof/>
          <w:sz w:val="22"/>
          <w:szCs w:val="22"/>
        </w:rPr>
        <w:tab/>
        <w:t>I. Demers, B. Bussière, M. Benzaazoua, M. Mbonimpa, A. Blier: Miner. Eng. (2008) Vol. 21, p. 317.</w:t>
      </w:r>
    </w:p>
    <w:p w14:paraId="6CADC73D" w14:textId="77777777" w:rsidR="000C27D8" w:rsidRPr="00820E1E" w:rsidRDefault="000C27D8" w:rsidP="000C27D8">
      <w:pPr>
        <w:pStyle w:val="NormalWeb"/>
        <w:spacing w:before="0" w:beforeAutospacing="0" w:after="0" w:afterAutospacing="0"/>
        <w:ind w:left="641" w:hanging="641"/>
        <w:divId w:val="416756543"/>
        <w:rPr>
          <w:noProof/>
          <w:sz w:val="22"/>
          <w:szCs w:val="22"/>
        </w:rPr>
      </w:pPr>
      <w:r w:rsidRPr="00820E1E">
        <w:rPr>
          <w:noProof/>
          <w:sz w:val="22"/>
          <w:szCs w:val="22"/>
        </w:rPr>
        <w:t>[2]</w:t>
      </w:r>
      <w:r w:rsidRPr="00820E1E">
        <w:rPr>
          <w:noProof/>
          <w:sz w:val="22"/>
          <w:szCs w:val="22"/>
        </w:rPr>
        <w:tab/>
        <w:t>M. Benzaazoua, P. Marion, I. Picquet, B. Bussière: Miner. Eng. (2004) Vol. 17, p. 233.</w:t>
      </w:r>
    </w:p>
    <w:p w14:paraId="61C157FC" w14:textId="77777777" w:rsidR="000C27D8" w:rsidRPr="00820E1E" w:rsidRDefault="000C27D8" w:rsidP="000C27D8">
      <w:pPr>
        <w:pStyle w:val="NormalWeb"/>
        <w:spacing w:before="0" w:beforeAutospacing="0" w:after="0" w:afterAutospacing="0"/>
        <w:ind w:left="641" w:hanging="641"/>
        <w:divId w:val="416756543"/>
        <w:rPr>
          <w:noProof/>
          <w:sz w:val="22"/>
          <w:szCs w:val="22"/>
        </w:rPr>
      </w:pPr>
      <w:r w:rsidRPr="00820E1E">
        <w:rPr>
          <w:noProof/>
          <w:sz w:val="22"/>
          <w:szCs w:val="22"/>
        </w:rPr>
        <w:t>[3]</w:t>
      </w:r>
      <w:r w:rsidRPr="00820E1E">
        <w:rPr>
          <w:noProof/>
          <w:sz w:val="22"/>
          <w:szCs w:val="22"/>
        </w:rPr>
        <w:tab/>
        <w:t xml:space="preserve">R.S. Gautama, G.J. Kusuma, I. Lestari, R.P. Anggana: In </w:t>
      </w:r>
      <w:r w:rsidRPr="00820E1E">
        <w:rPr>
          <w:i/>
          <w:iCs/>
          <w:noProof/>
          <w:sz w:val="22"/>
          <w:szCs w:val="22"/>
        </w:rPr>
        <w:t>Proc. 2010 Int. Mine Water Assoc. Symp. Mine Water Innov. Think.</w:t>
      </w:r>
      <w:r w:rsidRPr="00820E1E">
        <w:rPr>
          <w:noProof/>
          <w:sz w:val="22"/>
          <w:szCs w:val="22"/>
        </w:rPr>
        <w:t xml:space="preserve"> (2010).</w:t>
      </w:r>
    </w:p>
    <w:p w14:paraId="51593CE2" w14:textId="77777777" w:rsidR="000C27D8" w:rsidRPr="00820E1E" w:rsidRDefault="000C27D8" w:rsidP="000C27D8">
      <w:pPr>
        <w:pStyle w:val="NormalWeb"/>
        <w:spacing w:before="0" w:beforeAutospacing="0" w:after="0" w:afterAutospacing="0"/>
        <w:ind w:left="641" w:hanging="641"/>
        <w:divId w:val="416756543"/>
        <w:rPr>
          <w:noProof/>
          <w:sz w:val="22"/>
          <w:szCs w:val="22"/>
        </w:rPr>
      </w:pPr>
      <w:r w:rsidRPr="00820E1E">
        <w:rPr>
          <w:noProof/>
          <w:sz w:val="22"/>
          <w:szCs w:val="22"/>
        </w:rPr>
        <w:t>[4]</w:t>
      </w:r>
      <w:r w:rsidRPr="00820E1E">
        <w:rPr>
          <w:noProof/>
          <w:sz w:val="22"/>
          <w:szCs w:val="22"/>
        </w:rPr>
        <w:tab/>
        <w:t>C. Mbamba, J.-P. Franzidis, S.T.L. Harrison, J.L. Broadhurst: J. South African Inst. Min. Metall. (2013) Vol. 113, p. 399.</w:t>
      </w:r>
    </w:p>
    <w:p w14:paraId="678177E0" w14:textId="77777777" w:rsidR="000C27D8" w:rsidRPr="00820E1E" w:rsidRDefault="000C27D8" w:rsidP="000C27D8">
      <w:pPr>
        <w:pStyle w:val="NormalWeb"/>
        <w:spacing w:before="0" w:beforeAutospacing="0" w:after="0" w:afterAutospacing="0"/>
        <w:ind w:left="641" w:hanging="641"/>
        <w:divId w:val="416756543"/>
        <w:rPr>
          <w:noProof/>
          <w:sz w:val="22"/>
          <w:szCs w:val="22"/>
        </w:rPr>
      </w:pPr>
      <w:r w:rsidRPr="00820E1E">
        <w:rPr>
          <w:noProof/>
          <w:sz w:val="22"/>
          <w:szCs w:val="22"/>
        </w:rPr>
        <w:t>[5]</w:t>
      </w:r>
      <w:r w:rsidRPr="00820E1E">
        <w:rPr>
          <w:noProof/>
          <w:sz w:val="22"/>
          <w:szCs w:val="22"/>
        </w:rPr>
        <w:tab/>
        <w:t>J. Skousen, J. Renton, H. Brown, P. Evans, B. Leavitt, K. Brady, et al.: J. Environ. Qual. (1997) Vol. 26, p. 673.</w:t>
      </w:r>
    </w:p>
    <w:p w14:paraId="6CE0BB0B" w14:textId="77777777" w:rsidR="000C27D8" w:rsidRPr="00820E1E" w:rsidRDefault="000C27D8" w:rsidP="000C27D8">
      <w:pPr>
        <w:pStyle w:val="NormalWeb"/>
        <w:spacing w:before="0" w:beforeAutospacing="0" w:after="0" w:afterAutospacing="0"/>
        <w:ind w:left="641" w:hanging="641"/>
        <w:divId w:val="416756543"/>
        <w:rPr>
          <w:noProof/>
          <w:sz w:val="22"/>
          <w:szCs w:val="22"/>
        </w:rPr>
      </w:pPr>
      <w:r w:rsidRPr="00820E1E">
        <w:rPr>
          <w:noProof/>
          <w:sz w:val="22"/>
          <w:szCs w:val="22"/>
        </w:rPr>
        <w:t>[6]</w:t>
      </w:r>
      <w:r w:rsidRPr="00820E1E">
        <w:rPr>
          <w:noProof/>
          <w:sz w:val="22"/>
          <w:szCs w:val="22"/>
        </w:rPr>
        <w:tab/>
        <w:t xml:space="preserve">W.A. Stewart, S.D. Miller, R. Smart: In </w:t>
      </w:r>
      <w:r w:rsidRPr="00820E1E">
        <w:rPr>
          <w:i/>
          <w:iCs/>
          <w:noProof/>
          <w:sz w:val="22"/>
          <w:szCs w:val="22"/>
        </w:rPr>
        <w:t>Proc. 7th Int. Conf. Acid Rock Drainage. ICARD</w:t>
      </w:r>
      <w:r w:rsidRPr="00820E1E">
        <w:rPr>
          <w:noProof/>
          <w:sz w:val="22"/>
          <w:szCs w:val="22"/>
        </w:rPr>
        <w:t xml:space="preserve"> (2006) p. 2098.</w:t>
      </w:r>
    </w:p>
    <w:p w14:paraId="38E87144" w14:textId="704EB478" w:rsidR="00E851C5" w:rsidRPr="00820E1E" w:rsidRDefault="00E851C5" w:rsidP="000C27D8">
      <w:pPr>
        <w:pStyle w:val="NormalWeb"/>
        <w:spacing w:before="0" w:beforeAutospacing="0" w:after="0" w:afterAutospacing="0"/>
        <w:ind w:left="641" w:hanging="641"/>
        <w:divId w:val="416756543"/>
        <w:rPr>
          <w:noProof/>
          <w:sz w:val="22"/>
          <w:szCs w:val="22"/>
        </w:rPr>
      </w:pPr>
      <w:r w:rsidRPr="00820E1E">
        <w:rPr>
          <w:noProof/>
          <w:sz w:val="22"/>
          <w:szCs w:val="22"/>
        </w:rPr>
        <w:t>[7]</w:t>
      </w:r>
      <w:r w:rsidRPr="00820E1E">
        <w:rPr>
          <w:noProof/>
          <w:sz w:val="22"/>
          <w:szCs w:val="22"/>
        </w:rPr>
        <w:tab/>
        <w:t xml:space="preserve">R.P. </w:t>
      </w:r>
      <w:r w:rsidRPr="00820E1E">
        <w:rPr>
          <w:rFonts w:cs="Arial"/>
          <w:sz w:val="22"/>
          <w:szCs w:val="22"/>
        </w:rPr>
        <w:t>van Hille, A.W. van Zyl, N Spurr and S.T.L. Harrison. Miner. Eng</w:t>
      </w:r>
      <w:r w:rsidRPr="00820E1E">
        <w:rPr>
          <w:rFonts w:cs="Arial"/>
          <w:i/>
          <w:sz w:val="22"/>
          <w:szCs w:val="22"/>
        </w:rPr>
        <w:t>.</w:t>
      </w:r>
      <w:r w:rsidR="00CA0670" w:rsidRPr="00820E1E">
        <w:rPr>
          <w:rFonts w:cs="Arial"/>
          <w:sz w:val="22"/>
          <w:szCs w:val="22"/>
        </w:rPr>
        <w:t xml:space="preserve"> (2010) </w:t>
      </w:r>
      <w:r w:rsidRPr="00820E1E">
        <w:rPr>
          <w:rFonts w:cs="Arial"/>
          <w:sz w:val="22"/>
          <w:szCs w:val="22"/>
        </w:rPr>
        <w:t>Vol. 23, p. 518.</w:t>
      </w:r>
    </w:p>
    <w:p w14:paraId="047479B4" w14:textId="072C1920" w:rsidR="000C27D8" w:rsidRPr="00820E1E" w:rsidRDefault="000C27D8" w:rsidP="000C27D8">
      <w:pPr>
        <w:pStyle w:val="NormalWeb"/>
        <w:spacing w:before="0" w:beforeAutospacing="0" w:after="0" w:afterAutospacing="0"/>
        <w:ind w:left="641" w:hanging="641"/>
        <w:divId w:val="416756543"/>
        <w:rPr>
          <w:noProof/>
          <w:sz w:val="22"/>
          <w:szCs w:val="22"/>
        </w:rPr>
      </w:pPr>
      <w:r w:rsidRPr="00820E1E">
        <w:rPr>
          <w:noProof/>
          <w:sz w:val="22"/>
          <w:szCs w:val="22"/>
        </w:rPr>
        <w:t>[</w:t>
      </w:r>
      <w:r w:rsidR="00E851C5" w:rsidRPr="00820E1E">
        <w:rPr>
          <w:noProof/>
          <w:sz w:val="22"/>
          <w:szCs w:val="22"/>
        </w:rPr>
        <w:t>8</w:t>
      </w:r>
      <w:r w:rsidRPr="00820E1E">
        <w:rPr>
          <w:noProof/>
          <w:sz w:val="22"/>
          <w:szCs w:val="22"/>
        </w:rPr>
        <w:t>]</w:t>
      </w:r>
      <w:r w:rsidRPr="00820E1E">
        <w:rPr>
          <w:noProof/>
          <w:sz w:val="22"/>
          <w:szCs w:val="22"/>
        </w:rPr>
        <w:tab/>
        <w:t xml:space="preserve">C.L. Lin, J.D. Miller, C. Garcia: Miner. Eng. (2005) Vol. 18, p. 1045. </w:t>
      </w:r>
    </w:p>
    <w:p w14:paraId="28A7E6D6" w14:textId="09F260A3" w:rsidR="002E7677" w:rsidRPr="00F123A5" w:rsidRDefault="002E7677" w:rsidP="00820E1E">
      <w:pPr>
        <w:pStyle w:val="NormalWeb"/>
        <w:spacing w:before="0" w:beforeAutospacing="0" w:after="0" w:afterAutospacing="0"/>
        <w:divId w:val="532108493"/>
        <w:rPr>
          <w:lang w:val="en-US"/>
        </w:rPr>
      </w:pPr>
      <w:r w:rsidRPr="00820E1E">
        <w:rPr>
          <w:sz w:val="22"/>
          <w:szCs w:val="22"/>
          <w:lang w:val="en-US"/>
        </w:rPr>
        <w:fldChar w:fldCharType="end"/>
      </w:r>
    </w:p>
    <w:sectPr w:rsidR="002E7677" w:rsidRPr="00F123A5" w:rsidSect="005F18D5">
      <w:pgSz w:w="11906" w:h="16838"/>
      <w:pgMar w:top="1418" w:right="1134"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F995C4" w14:textId="77777777" w:rsidR="00360AA8" w:rsidRDefault="00360AA8" w:rsidP="000017B3">
      <w:r>
        <w:separator/>
      </w:r>
    </w:p>
  </w:endnote>
  <w:endnote w:type="continuationSeparator" w:id="0">
    <w:p w14:paraId="579C0EA7" w14:textId="77777777" w:rsidR="00360AA8" w:rsidRDefault="00360AA8" w:rsidP="000017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9ED3BE" w14:textId="77777777" w:rsidR="00360AA8" w:rsidRDefault="00360AA8" w:rsidP="000017B3">
      <w:r>
        <w:separator/>
      </w:r>
    </w:p>
  </w:footnote>
  <w:footnote w:type="continuationSeparator" w:id="0">
    <w:p w14:paraId="2BEA0043" w14:textId="77777777" w:rsidR="00360AA8" w:rsidRDefault="00360AA8" w:rsidP="000017B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DD2179"/>
    <w:multiLevelType w:val="hybridMultilevel"/>
    <w:tmpl w:val="1FF444F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48B20825"/>
    <w:multiLevelType w:val="hybridMultilevel"/>
    <w:tmpl w:val="4C560EA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4ACC"/>
    <w:rsid w:val="000017B3"/>
    <w:rsid w:val="00001CBD"/>
    <w:rsid w:val="000046E1"/>
    <w:rsid w:val="00004D6A"/>
    <w:rsid w:val="00006254"/>
    <w:rsid w:val="00006964"/>
    <w:rsid w:val="0001004F"/>
    <w:rsid w:val="00010BA3"/>
    <w:rsid w:val="00011788"/>
    <w:rsid w:val="0001392B"/>
    <w:rsid w:val="000165D1"/>
    <w:rsid w:val="00017BFE"/>
    <w:rsid w:val="00017ECF"/>
    <w:rsid w:val="0002123D"/>
    <w:rsid w:val="0003189D"/>
    <w:rsid w:val="00033127"/>
    <w:rsid w:val="00037567"/>
    <w:rsid w:val="000451AD"/>
    <w:rsid w:val="00046AE2"/>
    <w:rsid w:val="00051EC1"/>
    <w:rsid w:val="00054773"/>
    <w:rsid w:val="0006063D"/>
    <w:rsid w:val="0007530A"/>
    <w:rsid w:val="00075F1F"/>
    <w:rsid w:val="00076348"/>
    <w:rsid w:val="00076866"/>
    <w:rsid w:val="00080A3E"/>
    <w:rsid w:val="000875E2"/>
    <w:rsid w:val="00087C04"/>
    <w:rsid w:val="00093AAB"/>
    <w:rsid w:val="0009646C"/>
    <w:rsid w:val="000A1573"/>
    <w:rsid w:val="000B12CB"/>
    <w:rsid w:val="000B28B0"/>
    <w:rsid w:val="000B34C0"/>
    <w:rsid w:val="000B4437"/>
    <w:rsid w:val="000B47BD"/>
    <w:rsid w:val="000B5420"/>
    <w:rsid w:val="000B5A3A"/>
    <w:rsid w:val="000C27D8"/>
    <w:rsid w:val="000C3009"/>
    <w:rsid w:val="000C5AE8"/>
    <w:rsid w:val="000C7494"/>
    <w:rsid w:val="000D2BD9"/>
    <w:rsid w:val="000D3ECB"/>
    <w:rsid w:val="000D50B9"/>
    <w:rsid w:val="000D681F"/>
    <w:rsid w:val="000D6A9B"/>
    <w:rsid w:val="000D7872"/>
    <w:rsid w:val="000F05EB"/>
    <w:rsid w:val="000F075E"/>
    <w:rsid w:val="000F63C6"/>
    <w:rsid w:val="00103A4A"/>
    <w:rsid w:val="001061A4"/>
    <w:rsid w:val="00110340"/>
    <w:rsid w:val="0011249D"/>
    <w:rsid w:val="00113148"/>
    <w:rsid w:val="00114847"/>
    <w:rsid w:val="00115260"/>
    <w:rsid w:val="0011585D"/>
    <w:rsid w:val="0011634C"/>
    <w:rsid w:val="00120CF1"/>
    <w:rsid w:val="00123486"/>
    <w:rsid w:val="001259F6"/>
    <w:rsid w:val="00125B9A"/>
    <w:rsid w:val="001268CA"/>
    <w:rsid w:val="00136569"/>
    <w:rsid w:val="0013768F"/>
    <w:rsid w:val="0014320B"/>
    <w:rsid w:val="00145C6B"/>
    <w:rsid w:val="00152959"/>
    <w:rsid w:val="001536FB"/>
    <w:rsid w:val="00153E5E"/>
    <w:rsid w:val="00156061"/>
    <w:rsid w:val="00157494"/>
    <w:rsid w:val="00166989"/>
    <w:rsid w:val="00171080"/>
    <w:rsid w:val="00173298"/>
    <w:rsid w:val="0017651F"/>
    <w:rsid w:val="00191ACB"/>
    <w:rsid w:val="00194AD2"/>
    <w:rsid w:val="0019642E"/>
    <w:rsid w:val="001A00D2"/>
    <w:rsid w:val="001A1C1C"/>
    <w:rsid w:val="001A1E96"/>
    <w:rsid w:val="001A6A6C"/>
    <w:rsid w:val="001B73BC"/>
    <w:rsid w:val="001C18DB"/>
    <w:rsid w:val="001C3385"/>
    <w:rsid w:val="001C5825"/>
    <w:rsid w:val="001C757C"/>
    <w:rsid w:val="001D314C"/>
    <w:rsid w:val="001D4DBD"/>
    <w:rsid w:val="001D6E29"/>
    <w:rsid w:val="001E0664"/>
    <w:rsid w:val="001E0775"/>
    <w:rsid w:val="001E3CBF"/>
    <w:rsid w:val="001E4B5D"/>
    <w:rsid w:val="001E5BDB"/>
    <w:rsid w:val="001E6C0D"/>
    <w:rsid w:val="001F1836"/>
    <w:rsid w:val="001F226A"/>
    <w:rsid w:val="001F5BA4"/>
    <w:rsid w:val="00202588"/>
    <w:rsid w:val="00223A29"/>
    <w:rsid w:val="00226F0D"/>
    <w:rsid w:val="00227615"/>
    <w:rsid w:val="002308E9"/>
    <w:rsid w:val="00231A98"/>
    <w:rsid w:val="00235355"/>
    <w:rsid w:val="002502B5"/>
    <w:rsid w:val="00251795"/>
    <w:rsid w:val="00255D62"/>
    <w:rsid w:val="00257976"/>
    <w:rsid w:val="002722E1"/>
    <w:rsid w:val="00272B2B"/>
    <w:rsid w:val="00281619"/>
    <w:rsid w:val="00286D75"/>
    <w:rsid w:val="00286E18"/>
    <w:rsid w:val="00290375"/>
    <w:rsid w:val="00290406"/>
    <w:rsid w:val="00293C1C"/>
    <w:rsid w:val="0029651D"/>
    <w:rsid w:val="002A11E5"/>
    <w:rsid w:val="002B59D9"/>
    <w:rsid w:val="002C2DCA"/>
    <w:rsid w:val="002C4752"/>
    <w:rsid w:val="002D0F56"/>
    <w:rsid w:val="002D2909"/>
    <w:rsid w:val="002D68E7"/>
    <w:rsid w:val="002E1EC2"/>
    <w:rsid w:val="002E24C7"/>
    <w:rsid w:val="002E7225"/>
    <w:rsid w:val="002E7677"/>
    <w:rsid w:val="002F166F"/>
    <w:rsid w:val="002F22DA"/>
    <w:rsid w:val="002F3A8E"/>
    <w:rsid w:val="002F6150"/>
    <w:rsid w:val="002F6384"/>
    <w:rsid w:val="002F6589"/>
    <w:rsid w:val="002F7839"/>
    <w:rsid w:val="002F7C41"/>
    <w:rsid w:val="00301D16"/>
    <w:rsid w:val="00302B9C"/>
    <w:rsid w:val="003031D0"/>
    <w:rsid w:val="003043FF"/>
    <w:rsid w:val="003066E0"/>
    <w:rsid w:val="0030671E"/>
    <w:rsid w:val="00315709"/>
    <w:rsid w:val="0031598A"/>
    <w:rsid w:val="003171A1"/>
    <w:rsid w:val="00317FE4"/>
    <w:rsid w:val="00320BD0"/>
    <w:rsid w:val="00327489"/>
    <w:rsid w:val="003316AC"/>
    <w:rsid w:val="00331C51"/>
    <w:rsid w:val="0034518D"/>
    <w:rsid w:val="00347499"/>
    <w:rsid w:val="0035462D"/>
    <w:rsid w:val="00355F0D"/>
    <w:rsid w:val="0035672A"/>
    <w:rsid w:val="00357658"/>
    <w:rsid w:val="003603FE"/>
    <w:rsid w:val="00360AA8"/>
    <w:rsid w:val="00362484"/>
    <w:rsid w:val="0036689D"/>
    <w:rsid w:val="003700D6"/>
    <w:rsid w:val="003718BE"/>
    <w:rsid w:val="00372375"/>
    <w:rsid w:val="003726F1"/>
    <w:rsid w:val="00373FC3"/>
    <w:rsid w:val="00385C0E"/>
    <w:rsid w:val="00386891"/>
    <w:rsid w:val="00386E17"/>
    <w:rsid w:val="00390DCA"/>
    <w:rsid w:val="00394017"/>
    <w:rsid w:val="003A1B5A"/>
    <w:rsid w:val="003A3E12"/>
    <w:rsid w:val="003A7AC9"/>
    <w:rsid w:val="003B789D"/>
    <w:rsid w:val="003B7E09"/>
    <w:rsid w:val="003D065B"/>
    <w:rsid w:val="003E0198"/>
    <w:rsid w:val="003E096C"/>
    <w:rsid w:val="003E1611"/>
    <w:rsid w:val="003E4FE6"/>
    <w:rsid w:val="003E6AD9"/>
    <w:rsid w:val="003F7AD3"/>
    <w:rsid w:val="003F7E29"/>
    <w:rsid w:val="00415B77"/>
    <w:rsid w:val="0041676D"/>
    <w:rsid w:val="004168F8"/>
    <w:rsid w:val="004173FA"/>
    <w:rsid w:val="004257CB"/>
    <w:rsid w:val="004318E7"/>
    <w:rsid w:val="004323E9"/>
    <w:rsid w:val="00441497"/>
    <w:rsid w:val="004429A3"/>
    <w:rsid w:val="004574F2"/>
    <w:rsid w:val="00462F69"/>
    <w:rsid w:val="0046300F"/>
    <w:rsid w:val="0046352C"/>
    <w:rsid w:val="00463FAC"/>
    <w:rsid w:val="00465DCD"/>
    <w:rsid w:val="0047432A"/>
    <w:rsid w:val="0047747F"/>
    <w:rsid w:val="004774A2"/>
    <w:rsid w:val="00492116"/>
    <w:rsid w:val="00493A2D"/>
    <w:rsid w:val="004A3AE6"/>
    <w:rsid w:val="004A4D9F"/>
    <w:rsid w:val="004A6A50"/>
    <w:rsid w:val="004A7E21"/>
    <w:rsid w:val="004A7EAE"/>
    <w:rsid w:val="004B5B4F"/>
    <w:rsid w:val="004B5C1C"/>
    <w:rsid w:val="004B78DA"/>
    <w:rsid w:val="004C0D1D"/>
    <w:rsid w:val="004C2EFE"/>
    <w:rsid w:val="004C621A"/>
    <w:rsid w:val="004C6EE8"/>
    <w:rsid w:val="004D5D34"/>
    <w:rsid w:val="004D5F0C"/>
    <w:rsid w:val="004E3F6D"/>
    <w:rsid w:val="004F1993"/>
    <w:rsid w:val="004F63ED"/>
    <w:rsid w:val="004F69AF"/>
    <w:rsid w:val="005031A9"/>
    <w:rsid w:val="0050360F"/>
    <w:rsid w:val="00503C90"/>
    <w:rsid w:val="005064AA"/>
    <w:rsid w:val="00506822"/>
    <w:rsid w:val="00513458"/>
    <w:rsid w:val="00514905"/>
    <w:rsid w:val="00515635"/>
    <w:rsid w:val="005159FB"/>
    <w:rsid w:val="00525088"/>
    <w:rsid w:val="00526015"/>
    <w:rsid w:val="0052717F"/>
    <w:rsid w:val="00527ED5"/>
    <w:rsid w:val="005316C5"/>
    <w:rsid w:val="00533EDC"/>
    <w:rsid w:val="005345EA"/>
    <w:rsid w:val="005356BF"/>
    <w:rsid w:val="00540628"/>
    <w:rsid w:val="0054072B"/>
    <w:rsid w:val="00541ACF"/>
    <w:rsid w:val="00546125"/>
    <w:rsid w:val="00552DF7"/>
    <w:rsid w:val="0055481D"/>
    <w:rsid w:val="00555990"/>
    <w:rsid w:val="0056090B"/>
    <w:rsid w:val="00561092"/>
    <w:rsid w:val="00561AC0"/>
    <w:rsid w:val="0056478D"/>
    <w:rsid w:val="00571382"/>
    <w:rsid w:val="005747CD"/>
    <w:rsid w:val="00580F7A"/>
    <w:rsid w:val="00583477"/>
    <w:rsid w:val="00585C20"/>
    <w:rsid w:val="00592D0F"/>
    <w:rsid w:val="005A54B1"/>
    <w:rsid w:val="005A5633"/>
    <w:rsid w:val="005B1158"/>
    <w:rsid w:val="005B5C68"/>
    <w:rsid w:val="005C1C6E"/>
    <w:rsid w:val="005C5749"/>
    <w:rsid w:val="005C6EBE"/>
    <w:rsid w:val="005D4CE4"/>
    <w:rsid w:val="005E051F"/>
    <w:rsid w:val="005E4ACC"/>
    <w:rsid w:val="005E4B6E"/>
    <w:rsid w:val="005E65C6"/>
    <w:rsid w:val="005E6C48"/>
    <w:rsid w:val="005E6F62"/>
    <w:rsid w:val="005F059D"/>
    <w:rsid w:val="005F18D5"/>
    <w:rsid w:val="005F1C28"/>
    <w:rsid w:val="005F6609"/>
    <w:rsid w:val="00600F05"/>
    <w:rsid w:val="00601266"/>
    <w:rsid w:val="00602B9F"/>
    <w:rsid w:val="00612759"/>
    <w:rsid w:val="0061396A"/>
    <w:rsid w:val="00615BB8"/>
    <w:rsid w:val="00621669"/>
    <w:rsid w:val="006229B9"/>
    <w:rsid w:val="006235A0"/>
    <w:rsid w:val="006248C9"/>
    <w:rsid w:val="00625901"/>
    <w:rsid w:val="00625F99"/>
    <w:rsid w:val="00626017"/>
    <w:rsid w:val="00633741"/>
    <w:rsid w:val="006420C3"/>
    <w:rsid w:val="00645A4C"/>
    <w:rsid w:val="00646047"/>
    <w:rsid w:val="00651A4F"/>
    <w:rsid w:val="006528B3"/>
    <w:rsid w:val="00654D3D"/>
    <w:rsid w:val="0066491B"/>
    <w:rsid w:val="00671B54"/>
    <w:rsid w:val="00673DD1"/>
    <w:rsid w:val="006775FB"/>
    <w:rsid w:val="0068004C"/>
    <w:rsid w:val="00680F28"/>
    <w:rsid w:val="00682122"/>
    <w:rsid w:val="00682DE8"/>
    <w:rsid w:val="0068499F"/>
    <w:rsid w:val="00684CA1"/>
    <w:rsid w:val="00687CEF"/>
    <w:rsid w:val="006937F1"/>
    <w:rsid w:val="006958C1"/>
    <w:rsid w:val="006A52C9"/>
    <w:rsid w:val="006A694E"/>
    <w:rsid w:val="006A7DBA"/>
    <w:rsid w:val="006B3A56"/>
    <w:rsid w:val="006B524C"/>
    <w:rsid w:val="006B55BE"/>
    <w:rsid w:val="006C0852"/>
    <w:rsid w:val="006C1DF1"/>
    <w:rsid w:val="006C28D4"/>
    <w:rsid w:val="006C3A0E"/>
    <w:rsid w:val="006C5011"/>
    <w:rsid w:val="006C5643"/>
    <w:rsid w:val="006E18D6"/>
    <w:rsid w:val="006E4A23"/>
    <w:rsid w:val="006F1E90"/>
    <w:rsid w:val="006F6BAD"/>
    <w:rsid w:val="007122FB"/>
    <w:rsid w:val="007176AF"/>
    <w:rsid w:val="00724A52"/>
    <w:rsid w:val="0072538B"/>
    <w:rsid w:val="00731C62"/>
    <w:rsid w:val="00734D40"/>
    <w:rsid w:val="00736957"/>
    <w:rsid w:val="007432BB"/>
    <w:rsid w:val="007436E8"/>
    <w:rsid w:val="00751ACD"/>
    <w:rsid w:val="007524A3"/>
    <w:rsid w:val="00760444"/>
    <w:rsid w:val="007635C9"/>
    <w:rsid w:val="00765F5A"/>
    <w:rsid w:val="0076663F"/>
    <w:rsid w:val="00767133"/>
    <w:rsid w:val="007800E3"/>
    <w:rsid w:val="007A10D8"/>
    <w:rsid w:val="007B0C39"/>
    <w:rsid w:val="007B0DA9"/>
    <w:rsid w:val="007B4254"/>
    <w:rsid w:val="007B4FC9"/>
    <w:rsid w:val="007C7AB9"/>
    <w:rsid w:val="007D2A76"/>
    <w:rsid w:val="007D31CF"/>
    <w:rsid w:val="007D7ECF"/>
    <w:rsid w:val="007E0AEC"/>
    <w:rsid w:val="007E504C"/>
    <w:rsid w:val="007E6826"/>
    <w:rsid w:val="007F3686"/>
    <w:rsid w:val="007F3D1E"/>
    <w:rsid w:val="007F64B3"/>
    <w:rsid w:val="007F69AC"/>
    <w:rsid w:val="00800FA9"/>
    <w:rsid w:val="00807646"/>
    <w:rsid w:val="00814450"/>
    <w:rsid w:val="00815534"/>
    <w:rsid w:val="00820E1E"/>
    <w:rsid w:val="00825491"/>
    <w:rsid w:val="00832B49"/>
    <w:rsid w:val="00841CC7"/>
    <w:rsid w:val="008437C2"/>
    <w:rsid w:val="00844D61"/>
    <w:rsid w:val="00846BCA"/>
    <w:rsid w:val="00846F7C"/>
    <w:rsid w:val="008573C6"/>
    <w:rsid w:val="00862CBC"/>
    <w:rsid w:val="008647F4"/>
    <w:rsid w:val="00865371"/>
    <w:rsid w:val="00866FA0"/>
    <w:rsid w:val="008672DD"/>
    <w:rsid w:val="00867F8E"/>
    <w:rsid w:val="00872A65"/>
    <w:rsid w:val="00874FEF"/>
    <w:rsid w:val="00875388"/>
    <w:rsid w:val="00883BA6"/>
    <w:rsid w:val="0089787D"/>
    <w:rsid w:val="008A5552"/>
    <w:rsid w:val="008A6235"/>
    <w:rsid w:val="008B284C"/>
    <w:rsid w:val="008B41F8"/>
    <w:rsid w:val="008B660F"/>
    <w:rsid w:val="008C02BA"/>
    <w:rsid w:val="008C17A4"/>
    <w:rsid w:val="008C2898"/>
    <w:rsid w:val="008C3F4F"/>
    <w:rsid w:val="008C6E3A"/>
    <w:rsid w:val="008C72E3"/>
    <w:rsid w:val="008D0D54"/>
    <w:rsid w:val="008D0EF1"/>
    <w:rsid w:val="008D1170"/>
    <w:rsid w:val="008D1B69"/>
    <w:rsid w:val="008D47B0"/>
    <w:rsid w:val="008D795F"/>
    <w:rsid w:val="008E099F"/>
    <w:rsid w:val="008E29A3"/>
    <w:rsid w:val="008E46F2"/>
    <w:rsid w:val="008E50EE"/>
    <w:rsid w:val="008E72E3"/>
    <w:rsid w:val="008F2521"/>
    <w:rsid w:val="008F2814"/>
    <w:rsid w:val="008F3040"/>
    <w:rsid w:val="008F3D1B"/>
    <w:rsid w:val="008F4BD1"/>
    <w:rsid w:val="0090008E"/>
    <w:rsid w:val="00902757"/>
    <w:rsid w:val="0090286B"/>
    <w:rsid w:val="00905F1A"/>
    <w:rsid w:val="009066F0"/>
    <w:rsid w:val="009139E4"/>
    <w:rsid w:val="009149DA"/>
    <w:rsid w:val="00917B5D"/>
    <w:rsid w:val="00921B24"/>
    <w:rsid w:val="0092325A"/>
    <w:rsid w:val="00924D9C"/>
    <w:rsid w:val="009254D6"/>
    <w:rsid w:val="009264E1"/>
    <w:rsid w:val="00927C79"/>
    <w:rsid w:val="00931279"/>
    <w:rsid w:val="00933679"/>
    <w:rsid w:val="0093486C"/>
    <w:rsid w:val="00937ADD"/>
    <w:rsid w:val="0094622C"/>
    <w:rsid w:val="009474CC"/>
    <w:rsid w:val="00953519"/>
    <w:rsid w:val="0095771B"/>
    <w:rsid w:val="009614B8"/>
    <w:rsid w:val="0097527E"/>
    <w:rsid w:val="00977557"/>
    <w:rsid w:val="00977FFB"/>
    <w:rsid w:val="00985D10"/>
    <w:rsid w:val="009860C5"/>
    <w:rsid w:val="009B32AA"/>
    <w:rsid w:val="009B556C"/>
    <w:rsid w:val="009B6EC2"/>
    <w:rsid w:val="009B73BA"/>
    <w:rsid w:val="009B7A6F"/>
    <w:rsid w:val="009C2318"/>
    <w:rsid w:val="009D1A24"/>
    <w:rsid w:val="009E5E4E"/>
    <w:rsid w:val="009E6A72"/>
    <w:rsid w:val="009F1A04"/>
    <w:rsid w:val="009F2F01"/>
    <w:rsid w:val="009F44CD"/>
    <w:rsid w:val="009F6469"/>
    <w:rsid w:val="00A0367F"/>
    <w:rsid w:val="00A038D1"/>
    <w:rsid w:val="00A04033"/>
    <w:rsid w:val="00A05B80"/>
    <w:rsid w:val="00A20B89"/>
    <w:rsid w:val="00A2135F"/>
    <w:rsid w:val="00A216DB"/>
    <w:rsid w:val="00A23E26"/>
    <w:rsid w:val="00A2425F"/>
    <w:rsid w:val="00A316DE"/>
    <w:rsid w:val="00A36BDF"/>
    <w:rsid w:val="00A37586"/>
    <w:rsid w:val="00A553C5"/>
    <w:rsid w:val="00A55A28"/>
    <w:rsid w:val="00A64BBE"/>
    <w:rsid w:val="00A70853"/>
    <w:rsid w:val="00A748A5"/>
    <w:rsid w:val="00A82F3E"/>
    <w:rsid w:val="00A84560"/>
    <w:rsid w:val="00A84EEE"/>
    <w:rsid w:val="00A85102"/>
    <w:rsid w:val="00A85973"/>
    <w:rsid w:val="00A85F0D"/>
    <w:rsid w:val="00A860EE"/>
    <w:rsid w:val="00A8639E"/>
    <w:rsid w:val="00A93451"/>
    <w:rsid w:val="00AA2834"/>
    <w:rsid w:val="00AA710A"/>
    <w:rsid w:val="00AB2CD1"/>
    <w:rsid w:val="00AB54D3"/>
    <w:rsid w:val="00AC4FA2"/>
    <w:rsid w:val="00AD0F6B"/>
    <w:rsid w:val="00AE1847"/>
    <w:rsid w:val="00AF2B12"/>
    <w:rsid w:val="00AF452D"/>
    <w:rsid w:val="00AF761B"/>
    <w:rsid w:val="00B01725"/>
    <w:rsid w:val="00B01E6C"/>
    <w:rsid w:val="00B12F47"/>
    <w:rsid w:val="00B15FEC"/>
    <w:rsid w:val="00B20BD6"/>
    <w:rsid w:val="00B21703"/>
    <w:rsid w:val="00B21771"/>
    <w:rsid w:val="00B2227E"/>
    <w:rsid w:val="00B23292"/>
    <w:rsid w:val="00B25F08"/>
    <w:rsid w:val="00B26728"/>
    <w:rsid w:val="00B3129C"/>
    <w:rsid w:val="00B31C07"/>
    <w:rsid w:val="00B31F2E"/>
    <w:rsid w:val="00B40419"/>
    <w:rsid w:val="00B40FF7"/>
    <w:rsid w:val="00B411EF"/>
    <w:rsid w:val="00B42B84"/>
    <w:rsid w:val="00B43D57"/>
    <w:rsid w:val="00B460C9"/>
    <w:rsid w:val="00B463A0"/>
    <w:rsid w:val="00B515DE"/>
    <w:rsid w:val="00B51DBF"/>
    <w:rsid w:val="00B55677"/>
    <w:rsid w:val="00B62748"/>
    <w:rsid w:val="00B636E1"/>
    <w:rsid w:val="00B641C8"/>
    <w:rsid w:val="00B66F53"/>
    <w:rsid w:val="00B6724B"/>
    <w:rsid w:val="00B725B0"/>
    <w:rsid w:val="00B72C3E"/>
    <w:rsid w:val="00B81012"/>
    <w:rsid w:val="00B812EB"/>
    <w:rsid w:val="00B82090"/>
    <w:rsid w:val="00B84670"/>
    <w:rsid w:val="00B8643C"/>
    <w:rsid w:val="00B90A50"/>
    <w:rsid w:val="00B9318F"/>
    <w:rsid w:val="00B973FB"/>
    <w:rsid w:val="00BA1FF0"/>
    <w:rsid w:val="00BA46BF"/>
    <w:rsid w:val="00BA66E4"/>
    <w:rsid w:val="00BB0FD5"/>
    <w:rsid w:val="00BB207F"/>
    <w:rsid w:val="00BB244A"/>
    <w:rsid w:val="00BB4D8E"/>
    <w:rsid w:val="00BB611C"/>
    <w:rsid w:val="00BC56FC"/>
    <w:rsid w:val="00BC588A"/>
    <w:rsid w:val="00BD0F5F"/>
    <w:rsid w:val="00BD3A66"/>
    <w:rsid w:val="00BD52E5"/>
    <w:rsid w:val="00BD5E50"/>
    <w:rsid w:val="00BE0C37"/>
    <w:rsid w:val="00BE3626"/>
    <w:rsid w:val="00BE3914"/>
    <w:rsid w:val="00BE7635"/>
    <w:rsid w:val="00C0011D"/>
    <w:rsid w:val="00C05554"/>
    <w:rsid w:val="00C06588"/>
    <w:rsid w:val="00C07902"/>
    <w:rsid w:val="00C10983"/>
    <w:rsid w:val="00C116E9"/>
    <w:rsid w:val="00C11E7D"/>
    <w:rsid w:val="00C12908"/>
    <w:rsid w:val="00C13E61"/>
    <w:rsid w:val="00C14FF3"/>
    <w:rsid w:val="00C2018C"/>
    <w:rsid w:val="00C23097"/>
    <w:rsid w:val="00C31484"/>
    <w:rsid w:val="00C41383"/>
    <w:rsid w:val="00C440FA"/>
    <w:rsid w:val="00C442C4"/>
    <w:rsid w:val="00C4434F"/>
    <w:rsid w:val="00C446D9"/>
    <w:rsid w:val="00C447D2"/>
    <w:rsid w:val="00C459DE"/>
    <w:rsid w:val="00C50B30"/>
    <w:rsid w:val="00C53657"/>
    <w:rsid w:val="00C54B54"/>
    <w:rsid w:val="00C6023C"/>
    <w:rsid w:val="00C6233E"/>
    <w:rsid w:val="00C66DF2"/>
    <w:rsid w:val="00C66FB8"/>
    <w:rsid w:val="00C70523"/>
    <w:rsid w:val="00C71E52"/>
    <w:rsid w:val="00C72F33"/>
    <w:rsid w:val="00C74391"/>
    <w:rsid w:val="00C75FDB"/>
    <w:rsid w:val="00C807D8"/>
    <w:rsid w:val="00C85E09"/>
    <w:rsid w:val="00C94A7A"/>
    <w:rsid w:val="00C95CB9"/>
    <w:rsid w:val="00CA0670"/>
    <w:rsid w:val="00CA07AF"/>
    <w:rsid w:val="00CA25DB"/>
    <w:rsid w:val="00CA2738"/>
    <w:rsid w:val="00CA37D8"/>
    <w:rsid w:val="00CA38BA"/>
    <w:rsid w:val="00CB301D"/>
    <w:rsid w:val="00CB7DC5"/>
    <w:rsid w:val="00CC004A"/>
    <w:rsid w:val="00CC55F7"/>
    <w:rsid w:val="00CC644A"/>
    <w:rsid w:val="00CC73C6"/>
    <w:rsid w:val="00CD1522"/>
    <w:rsid w:val="00CD1C05"/>
    <w:rsid w:val="00CD1DCD"/>
    <w:rsid w:val="00CD3D9D"/>
    <w:rsid w:val="00CD4991"/>
    <w:rsid w:val="00CF4563"/>
    <w:rsid w:val="00CF6C74"/>
    <w:rsid w:val="00D00C6C"/>
    <w:rsid w:val="00D00CDB"/>
    <w:rsid w:val="00D0200A"/>
    <w:rsid w:val="00D021CA"/>
    <w:rsid w:val="00D07C9F"/>
    <w:rsid w:val="00D10463"/>
    <w:rsid w:val="00D143FE"/>
    <w:rsid w:val="00D15052"/>
    <w:rsid w:val="00D17EA9"/>
    <w:rsid w:val="00D20E99"/>
    <w:rsid w:val="00D239EF"/>
    <w:rsid w:val="00D273A0"/>
    <w:rsid w:val="00D27821"/>
    <w:rsid w:val="00D31458"/>
    <w:rsid w:val="00D35021"/>
    <w:rsid w:val="00D366D8"/>
    <w:rsid w:val="00D375F0"/>
    <w:rsid w:val="00D4273B"/>
    <w:rsid w:val="00D4334E"/>
    <w:rsid w:val="00D52946"/>
    <w:rsid w:val="00D544CB"/>
    <w:rsid w:val="00D60B70"/>
    <w:rsid w:val="00D64C65"/>
    <w:rsid w:val="00D7178D"/>
    <w:rsid w:val="00D72931"/>
    <w:rsid w:val="00D72E00"/>
    <w:rsid w:val="00D7552A"/>
    <w:rsid w:val="00D7731F"/>
    <w:rsid w:val="00D827B0"/>
    <w:rsid w:val="00D82C0B"/>
    <w:rsid w:val="00D9571F"/>
    <w:rsid w:val="00D962A7"/>
    <w:rsid w:val="00D97547"/>
    <w:rsid w:val="00D977C3"/>
    <w:rsid w:val="00DA0B17"/>
    <w:rsid w:val="00DB2BDF"/>
    <w:rsid w:val="00DB5D90"/>
    <w:rsid w:val="00DC2456"/>
    <w:rsid w:val="00DC303C"/>
    <w:rsid w:val="00DC36C9"/>
    <w:rsid w:val="00DC37BE"/>
    <w:rsid w:val="00DC4224"/>
    <w:rsid w:val="00DC4A62"/>
    <w:rsid w:val="00DC7A9B"/>
    <w:rsid w:val="00DD044C"/>
    <w:rsid w:val="00DD370F"/>
    <w:rsid w:val="00DD5F76"/>
    <w:rsid w:val="00DD6A34"/>
    <w:rsid w:val="00DE2CD9"/>
    <w:rsid w:val="00DE33C4"/>
    <w:rsid w:val="00DE347A"/>
    <w:rsid w:val="00DF052B"/>
    <w:rsid w:val="00DF4EED"/>
    <w:rsid w:val="00DF62A8"/>
    <w:rsid w:val="00DF6D51"/>
    <w:rsid w:val="00E00253"/>
    <w:rsid w:val="00E0025D"/>
    <w:rsid w:val="00E013F3"/>
    <w:rsid w:val="00E01B71"/>
    <w:rsid w:val="00E02A03"/>
    <w:rsid w:val="00E03159"/>
    <w:rsid w:val="00E05F1B"/>
    <w:rsid w:val="00E1299A"/>
    <w:rsid w:val="00E13704"/>
    <w:rsid w:val="00E1381A"/>
    <w:rsid w:val="00E15BBE"/>
    <w:rsid w:val="00E16440"/>
    <w:rsid w:val="00E16E11"/>
    <w:rsid w:val="00E174A2"/>
    <w:rsid w:val="00E20D58"/>
    <w:rsid w:val="00E25954"/>
    <w:rsid w:val="00E271B8"/>
    <w:rsid w:val="00E33646"/>
    <w:rsid w:val="00E3375E"/>
    <w:rsid w:val="00E33E95"/>
    <w:rsid w:val="00E352F8"/>
    <w:rsid w:val="00E369B6"/>
    <w:rsid w:val="00E40A18"/>
    <w:rsid w:val="00E44C42"/>
    <w:rsid w:val="00E508B1"/>
    <w:rsid w:val="00E50B45"/>
    <w:rsid w:val="00E541B7"/>
    <w:rsid w:val="00E549D2"/>
    <w:rsid w:val="00E550DC"/>
    <w:rsid w:val="00E55783"/>
    <w:rsid w:val="00E56072"/>
    <w:rsid w:val="00E579DE"/>
    <w:rsid w:val="00E60EE9"/>
    <w:rsid w:val="00E648B7"/>
    <w:rsid w:val="00E7062D"/>
    <w:rsid w:val="00E712EE"/>
    <w:rsid w:val="00E71E32"/>
    <w:rsid w:val="00E81083"/>
    <w:rsid w:val="00E83B0A"/>
    <w:rsid w:val="00E851C5"/>
    <w:rsid w:val="00E86DFA"/>
    <w:rsid w:val="00E87595"/>
    <w:rsid w:val="00E9201F"/>
    <w:rsid w:val="00E939C3"/>
    <w:rsid w:val="00E966A0"/>
    <w:rsid w:val="00EA03AC"/>
    <w:rsid w:val="00EA0822"/>
    <w:rsid w:val="00EA4C44"/>
    <w:rsid w:val="00EA6C95"/>
    <w:rsid w:val="00EB2C22"/>
    <w:rsid w:val="00EB503C"/>
    <w:rsid w:val="00EB6055"/>
    <w:rsid w:val="00EB6654"/>
    <w:rsid w:val="00EC0F86"/>
    <w:rsid w:val="00EC1394"/>
    <w:rsid w:val="00ED1170"/>
    <w:rsid w:val="00ED13B8"/>
    <w:rsid w:val="00ED709A"/>
    <w:rsid w:val="00EE38C9"/>
    <w:rsid w:val="00EE6B70"/>
    <w:rsid w:val="00EE6C79"/>
    <w:rsid w:val="00EE7424"/>
    <w:rsid w:val="00EF2203"/>
    <w:rsid w:val="00EF4D8A"/>
    <w:rsid w:val="00EF640B"/>
    <w:rsid w:val="00F00777"/>
    <w:rsid w:val="00F01D48"/>
    <w:rsid w:val="00F0791D"/>
    <w:rsid w:val="00F123A5"/>
    <w:rsid w:val="00F123F5"/>
    <w:rsid w:val="00F15A3E"/>
    <w:rsid w:val="00F219DB"/>
    <w:rsid w:val="00F22FE7"/>
    <w:rsid w:val="00F234CC"/>
    <w:rsid w:val="00F23759"/>
    <w:rsid w:val="00F23EC0"/>
    <w:rsid w:val="00F26C3F"/>
    <w:rsid w:val="00F27A5C"/>
    <w:rsid w:val="00F31227"/>
    <w:rsid w:val="00F32170"/>
    <w:rsid w:val="00F37030"/>
    <w:rsid w:val="00F42A2A"/>
    <w:rsid w:val="00F42AAC"/>
    <w:rsid w:val="00F47168"/>
    <w:rsid w:val="00F4784F"/>
    <w:rsid w:val="00F50AD8"/>
    <w:rsid w:val="00F51A9D"/>
    <w:rsid w:val="00F52770"/>
    <w:rsid w:val="00F5439C"/>
    <w:rsid w:val="00F56CFC"/>
    <w:rsid w:val="00F648D7"/>
    <w:rsid w:val="00F65CB5"/>
    <w:rsid w:val="00F71A2C"/>
    <w:rsid w:val="00F72A70"/>
    <w:rsid w:val="00F73C94"/>
    <w:rsid w:val="00F76388"/>
    <w:rsid w:val="00F7656B"/>
    <w:rsid w:val="00F8725F"/>
    <w:rsid w:val="00F939C4"/>
    <w:rsid w:val="00FA0385"/>
    <w:rsid w:val="00FA278C"/>
    <w:rsid w:val="00FA42E1"/>
    <w:rsid w:val="00FA5756"/>
    <w:rsid w:val="00FA6932"/>
    <w:rsid w:val="00FA6CCA"/>
    <w:rsid w:val="00FB0C1B"/>
    <w:rsid w:val="00FB178C"/>
    <w:rsid w:val="00FB3CC7"/>
    <w:rsid w:val="00FB46BC"/>
    <w:rsid w:val="00FB477E"/>
    <w:rsid w:val="00FB5EEA"/>
    <w:rsid w:val="00FB7825"/>
    <w:rsid w:val="00FB7E1D"/>
    <w:rsid w:val="00FC3F75"/>
    <w:rsid w:val="00FC4694"/>
    <w:rsid w:val="00FD12E9"/>
    <w:rsid w:val="00FD4AC8"/>
    <w:rsid w:val="00FE18FE"/>
    <w:rsid w:val="00FE2011"/>
    <w:rsid w:val="00FE42A4"/>
    <w:rsid w:val="00FE6847"/>
    <w:rsid w:val="00FF046D"/>
    <w:rsid w:val="00FF11F8"/>
    <w:rsid w:val="00FF6475"/>
    <w:rsid w:val="00FF7A4B"/>
    <w:rsid w:val="00FF7ABE"/>
    <w:rsid w:val="00FF7BB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3EEE23E"/>
  <w15:docId w15:val="{C2D1819B-9CFF-4DEF-B467-07554B258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4ACC"/>
    <w:pPr>
      <w:spacing w:after="0" w:line="240" w:lineRule="auto"/>
    </w:pPr>
    <w:rPr>
      <w:rFonts w:ascii="Times New Roman" w:hAnsi="Times New Roman" w:cs="Times New Roman"/>
      <w:sz w:val="24"/>
      <w:szCs w:val="24"/>
      <w:lang w:val="en-GB"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5E4ACC"/>
    <w:pPr>
      <w:spacing w:after="0" w:line="240" w:lineRule="auto"/>
    </w:pPr>
    <w:rPr>
      <w:rFonts w:ascii="Times New Roman" w:hAnsi="Times New Roman" w:cs="Times New Roman"/>
      <w:sz w:val="20"/>
      <w:szCs w:val="20"/>
      <w:lang w:val="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C14FF3"/>
    <w:rPr>
      <w:rFonts w:ascii="Tahoma" w:hAnsi="Tahoma" w:cs="Tahoma"/>
      <w:sz w:val="16"/>
      <w:szCs w:val="16"/>
    </w:rPr>
  </w:style>
  <w:style w:type="character" w:customStyle="1" w:styleId="BalloonTextChar">
    <w:name w:val="Balloon Text Char"/>
    <w:basedOn w:val="DefaultParagraphFont"/>
    <w:link w:val="BalloonText"/>
    <w:uiPriority w:val="99"/>
    <w:semiHidden/>
    <w:rsid w:val="00C14FF3"/>
    <w:rPr>
      <w:rFonts w:ascii="Tahoma" w:hAnsi="Tahoma" w:cs="Tahoma"/>
      <w:sz w:val="16"/>
      <w:szCs w:val="16"/>
      <w:lang w:val="en-GB" w:eastAsia="ko-KR"/>
    </w:rPr>
  </w:style>
  <w:style w:type="paragraph" w:styleId="ListParagraph">
    <w:name w:val="List Paragraph"/>
    <w:basedOn w:val="Normal"/>
    <w:uiPriority w:val="34"/>
    <w:qFormat/>
    <w:rsid w:val="00C12908"/>
    <w:pPr>
      <w:ind w:left="720"/>
      <w:contextualSpacing/>
    </w:pPr>
  </w:style>
  <w:style w:type="paragraph" w:styleId="HTMLPreformatted">
    <w:name w:val="HTML Preformatted"/>
    <w:basedOn w:val="Normal"/>
    <w:link w:val="HTMLPreformattedChar"/>
    <w:uiPriority w:val="99"/>
    <w:unhideWhenUsed/>
    <w:rsid w:val="000B5A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de-DE" w:eastAsia="de-DE"/>
    </w:rPr>
  </w:style>
  <w:style w:type="character" w:customStyle="1" w:styleId="HTMLPreformattedChar">
    <w:name w:val="HTML Preformatted Char"/>
    <w:basedOn w:val="DefaultParagraphFont"/>
    <w:link w:val="HTMLPreformatted"/>
    <w:uiPriority w:val="99"/>
    <w:rsid w:val="000B5A3A"/>
    <w:rPr>
      <w:rFonts w:ascii="Courier New" w:eastAsia="Times New Roman" w:hAnsi="Courier New" w:cs="Courier New"/>
      <w:sz w:val="20"/>
      <w:szCs w:val="20"/>
      <w:lang w:eastAsia="de-DE"/>
    </w:rPr>
  </w:style>
  <w:style w:type="paragraph" w:styleId="NormalWeb">
    <w:name w:val="Normal (Web)"/>
    <w:basedOn w:val="Normal"/>
    <w:uiPriority w:val="99"/>
    <w:unhideWhenUsed/>
    <w:rsid w:val="00682122"/>
    <w:pPr>
      <w:spacing w:before="100" w:beforeAutospacing="1" w:after="100" w:afterAutospacing="1"/>
    </w:pPr>
    <w:rPr>
      <w:rFonts w:eastAsia="Times New Roman"/>
      <w:lang w:val="de-DE" w:eastAsia="de-DE"/>
    </w:rPr>
  </w:style>
  <w:style w:type="paragraph" w:customStyle="1" w:styleId="Default">
    <w:name w:val="Default"/>
    <w:rsid w:val="008B660F"/>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8B660F"/>
    <w:rPr>
      <w:color w:val="0000FF" w:themeColor="hyperlink"/>
      <w:u w:val="single"/>
    </w:rPr>
  </w:style>
  <w:style w:type="character" w:styleId="CommentReference">
    <w:name w:val="annotation reference"/>
    <w:basedOn w:val="DefaultParagraphFont"/>
    <w:uiPriority w:val="99"/>
    <w:semiHidden/>
    <w:unhideWhenUsed/>
    <w:rsid w:val="003603FE"/>
    <w:rPr>
      <w:sz w:val="16"/>
      <w:szCs w:val="16"/>
    </w:rPr>
  </w:style>
  <w:style w:type="paragraph" w:styleId="CommentText">
    <w:name w:val="annotation text"/>
    <w:basedOn w:val="Normal"/>
    <w:link w:val="CommentTextChar"/>
    <w:uiPriority w:val="99"/>
    <w:semiHidden/>
    <w:unhideWhenUsed/>
    <w:rsid w:val="003603FE"/>
    <w:rPr>
      <w:sz w:val="20"/>
      <w:szCs w:val="20"/>
    </w:rPr>
  </w:style>
  <w:style w:type="character" w:customStyle="1" w:styleId="CommentTextChar">
    <w:name w:val="Comment Text Char"/>
    <w:basedOn w:val="DefaultParagraphFont"/>
    <w:link w:val="CommentText"/>
    <w:uiPriority w:val="99"/>
    <w:semiHidden/>
    <w:rsid w:val="003603FE"/>
    <w:rPr>
      <w:rFonts w:ascii="Times New Roman" w:hAnsi="Times New Roman" w:cs="Times New Roman"/>
      <w:sz w:val="20"/>
      <w:szCs w:val="20"/>
      <w:lang w:val="en-GB" w:eastAsia="ko-KR"/>
    </w:rPr>
  </w:style>
  <w:style w:type="paragraph" w:styleId="CommentSubject">
    <w:name w:val="annotation subject"/>
    <w:basedOn w:val="CommentText"/>
    <w:next w:val="CommentText"/>
    <w:link w:val="CommentSubjectChar"/>
    <w:uiPriority w:val="99"/>
    <w:semiHidden/>
    <w:unhideWhenUsed/>
    <w:rsid w:val="003603FE"/>
    <w:rPr>
      <w:b/>
      <w:bCs/>
    </w:rPr>
  </w:style>
  <w:style w:type="character" w:customStyle="1" w:styleId="CommentSubjectChar">
    <w:name w:val="Comment Subject Char"/>
    <w:basedOn w:val="CommentTextChar"/>
    <w:link w:val="CommentSubject"/>
    <w:uiPriority w:val="99"/>
    <w:semiHidden/>
    <w:rsid w:val="003603FE"/>
    <w:rPr>
      <w:rFonts w:ascii="Times New Roman" w:hAnsi="Times New Roman" w:cs="Times New Roman"/>
      <w:b/>
      <w:bCs/>
      <w:sz w:val="20"/>
      <w:szCs w:val="20"/>
      <w:lang w:val="en-GB" w:eastAsia="ko-KR"/>
    </w:rPr>
  </w:style>
  <w:style w:type="paragraph" w:styleId="Header">
    <w:name w:val="header"/>
    <w:basedOn w:val="Normal"/>
    <w:link w:val="HeaderChar"/>
    <w:uiPriority w:val="99"/>
    <w:semiHidden/>
    <w:unhideWhenUsed/>
    <w:rsid w:val="000017B3"/>
    <w:pPr>
      <w:tabs>
        <w:tab w:val="center" w:pos="4513"/>
        <w:tab w:val="right" w:pos="9026"/>
      </w:tabs>
    </w:pPr>
  </w:style>
  <w:style w:type="character" w:customStyle="1" w:styleId="HeaderChar">
    <w:name w:val="Header Char"/>
    <w:basedOn w:val="DefaultParagraphFont"/>
    <w:link w:val="Header"/>
    <w:uiPriority w:val="99"/>
    <w:semiHidden/>
    <w:rsid w:val="000017B3"/>
    <w:rPr>
      <w:rFonts w:ascii="Times New Roman" w:hAnsi="Times New Roman" w:cs="Times New Roman"/>
      <w:sz w:val="24"/>
      <w:szCs w:val="24"/>
      <w:lang w:val="en-GB" w:eastAsia="ko-KR"/>
    </w:rPr>
  </w:style>
  <w:style w:type="paragraph" w:styleId="Footer">
    <w:name w:val="footer"/>
    <w:basedOn w:val="Normal"/>
    <w:link w:val="FooterChar"/>
    <w:uiPriority w:val="99"/>
    <w:semiHidden/>
    <w:unhideWhenUsed/>
    <w:rsid w:val="000017B3"/>
    <w:pPr>
      <w:tabs>
        <w:tab w:val="center" w:pos="4513"/>
        <w:tab w:val="right" w:pos="9026"/>
      </w:tabs>
    </w:pPr>
  </w:style>
  <w:style w:type="character" w:customStyle="1" w:styleId="FooterChar">
    <w:name w:val="Footer Char"/>
    <w:basedOn w:val="DefaultParagraphFont"/>
    <w:link w:val="Footer"/>
    <w:uiPriority w:val="99"/>
    <w:semiHidden/>
    <w:rsid w:val="000017B3"/>
    <w:rPr>
      <w:rFonts w:ascii="Times New Roman" w:hAnsi="Times New Roman" w:cs="Times New Roman"/>
      <w:sz w:val="24"/>
      <w:szCs w:val="24"/>
      <w:lang w:val="en-GB" w:eastAsia="ko-KR"/>
    </w:rPr>
  </w:style>
  <w:style w:type="paragraph" w:styleId="Caption">
    <w:name w:val="caption"/>
    <w:basedOn w:val="Normal"/>
    <w:next w:val="Normal"/>
    <w:uiPriority w:val="35"/>
    <w:unhideWhenUsed/>
    <w:qFormat/>
    <w:rsid w:val="00977FFB"/>
    <w:pPr>
      <w:spacing w:after="200"/>
    </w:pPr>
    <w:rPr>
      <w:b/>
      <w:bCs/>
      <w:color w:val="4F81BD" w:themeColor="accent1"/>
      <w:sz w:val="18"/>
      <w:szCs w:val="18"/>
    </w:rPr>
  </w:style>
  <w:style w:type="character" w:styleId="PlaceholderText">
    <w:name w:val="Placeholder Text"/>
    <w:basedOn w:val="DefaultParagraphFont"/>
    <w:uiPriority w:val="99"/>
    <w:semiHidden/>
    <w:rsid w:val="00AB2CD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171878">
      <w:bodyDiv w:val="1"/>
      <w:marLeft w:val="0"/>
      <w:marRight w:val="0"/>
      <w:marTop w:val="0"/>
      <w:marBottom w:val="0"/>
      <w:divBdr>
        <w:top w:val="none" w:sz="0" w:space="0" w:color="auto"/>
        <w:left w:val="none" w:sz="0" w:space="0" w:color="auto"/>
        <w:bottom w:val="none" w:sz="0" w:space="0" w:color="auto"/>
        <w:right w:val="none" w:sz="0" w:space="0" w:color="auto"/>
      </w:divBdr>
    </w:div>
    <w:div w:id="79644169">
      <w:bodyDiv w:val="1"/>
      <w:marLeft w:val="0"/>
      <w:marRight w:val="0"/>
      <w:marTop w:val="0"/>
      <w:marBottom w:val="0"/>
      <w:divBdr>
        <w:top w:val="none" w:sz="0" w:space="0" w:color="auto"/>
        <w:left w:val="none" w:sz="0" w:space="0" w:color="auto"/>
        <w:bottom w:val="none" w:sz="0" w:space="0" w:color="auto"/>
        <w:right w:val="none" w:sz="0" w:space="0" w:color="auto"/>
      </w:divBdr>
    </w:div>
    <w:div w:id="82072046">
      <w:bodyDiv w:val="1"/>
      <w:marLeft w:val="0"/>
      <w:marRight w:val="0"/>
      <w:marTop w:val="0"/>
      <w:marBottom w:val="0"/>
      <w:divBdr>
        <w:top w:val="none" w:sz="0" w:space="0" w:color="auto"/>
        <w:left w:val="none" w:sz="0" w:space="0" w:color="auto"/>
        <w:bottom w:val="none" w:sz="0" w:space="0" w:color="auto"/>
        <w:right w:val="none" w:sz="0" w:space="0" w:color="auto"/>
      </w:divBdr>
    </w:div>
    <w:div w:id="216016144">
      <w:bodyDiv w:val="1"/>
      <w:marLeft w:val="0"/>
      <w:marRight w:val="0"/>
      <w:marTop w:val="0"/>
      <w:marBottom w:val="0"/>
      <w:divBdr>
        <w:top w:val="none" w:sz="0" w:space="0" w:color="auto"/>
        <w:left w:val="none" w:sz="0" w:space="0" w:color="auto"/>
        <w:bottom w:val="none" w:sz="0" w:space="0" w:color="auto"/>
        <w:right w:val="none" w:sz="0" w:space="0" w:color="auto"/>
      </w:divBdr>
    </w:div>
    <w:div w:id="216405317">
      <w:bodyDiv w:val="1"/>
      <w:marLeft w:val="0"/>
      <w:marRight w:val="0"/>
      <w:marTop w:val="0"/>
      <w:marBottom w:val="0"/>
      <w:divBdr>
        <w:top w:val="none" w:sz="0" w:space="0" w:color="auto"/>
        <w:left w:val="none" w:sz="0" w:space="0" w:color="auto"/>
        <w:bottom w:val="none" w:sz="0" w:space="0" w:color="auto"/>
        <w:right w:val="none" w:sz="0" w:space="0" w:color="auto"/>
      </w:divBdr>
    </w:div>
    <w:div w:id="218588713">
      <w:bodyDiv w:val="1"/>
      <w:marLeft w:val="0"/>
      <w:marRight w:val="0"/>
      <w:marTop w:val="0"/>
      <w:marBottom w:val="0"/>
      <w:divBdr>
        <w:top w:val="none" w:sz="0" w:space="0" w:color="auto"/>
        <w:left w:val="none" w:sz="0" w:space="0" w:color="auto"/>
        <w:bottom w:val="none" w:sz="0" w:space="0" w:color="auto"/>
        <w:right w:val="none" w:sz="0" w:space="0" w:color="auto"/>
      </w:divBdr>
    </w:div>
    <w:div w:id="258830762">
      <w:bodyDiv w:val="1"/>
      <w:marLeft w:val="0"/>
      <w:marRight w:val="0"/>
      <w:marTop w:val="0"/>
      <w:marBottom w:val="0"/>
      <w:divBdr>
        <w:top w:val="none" w:sz="0" w:space="0" w:color="auto"/>
        <w:left w:val="none" w:sz="0" w:space="0" w:color="auto"/>
        <w:bottom w:val="none" w:sz="0" w:space="0" w:color="auto"/>
        <w:right w:val="none" w:sz="0" w:space="0" w:color="auto"/>
      </w:divBdr>
    </w:div>
    <w:div w:id="365955352">
      <w:bodyDiv w:val="1"/>
      <w:marLeft w:val="0"/>
      <w:marRight w:val="0"/>
      <w:marTop w:val="0"/>
      <w:marBottom w:val="0"/>
      <w:divBdr>
        <w:top w:val="none" w:sz="0" w:space="0" w:color="auto"/>
        <w:left w:val="none" w:sz="0" w:space="0" w:color="auto"/>
        <w:bottom w:val="none" w:sz="0" w:space="0" w:color="auto"/>
        <w:right w:val="none" w:sz="0" w:space="0" w:color="auto"/>
      </w:divBdr>
    </w:div>
    <w:div w:id="407463581">
      <w:bodyDiv w:val="1"/>
      <w:marLeft w:val="0"/>
      <w:marRight w:val="0"/>
      <w:marTop w:val="0"/>
      <w:marBottom w:val="0"/>
      <w:divBdr>
        <w:top w:val="none" w:sz="0" w:space="0" w:color="auto"/>
        <w:left w:val="none" w:sz="0" w:space="0" w:color="auto"/>
        <w:bottom w:val="none" w:sz="0" w:space="0" w:color="auto"/>
        <w:right w:val="none" w:sz="0" w:space="0" w:color="auto"/>
      </w:divBdr>
    </w:div>
    <w:div w:id="436412677">
      <w:bodyDiv w:val="1"/>
      <w:marLeft w:val="0"/>
      <w:marRight w:val="0"/>
      <w:marTop w:val="0"/>
      <w:marBottom w:val="0"/>
      <w:divBdr>
        <w:top w:val="none" w:sz="0" w:space="0" w:color="auto"/>
        <w:left w:val="none" w:sz="0" w:space="0" w:color="auto"/>
        <w:bottom w:val="none" w:sz="0" w:space="0" w:color="auto"/>
        <w:right w:val="none" w:sz="0" w:space="0" w:color="auto"/>
      </w:divBdr>
    </w:div>
    <w:div w:id="484668444">
      <w:bodyDiv w:val="1"/>
      <w:marLeft w:val="0"/>
      <w:marRight w:val="0"/>
      <w:marTop w:val="0"/>
      <w:marBottom w:val="0"/>
      <w:divBdr>
        <w:top w:val="none" w:sz="0" w:space="0" w:color="auto"/>
        <w:left w:val="none" w:sz="0" w:space="0" w:color="auto"/>
        <w:bottom w:val="none" w:sz="0" w:space="0" w:color="auto"/>
        <w:right w:val="none" w:sz="0" w:space="0" w:color="auto"/>
      </w:divBdr>
    </w:div>
    <w:div w:id="494492940">
      <w:bodyDiv w:val="1"/>
      <w:marLeft w:val="0"/>
      <w:marRight w:val="0"/>
      <w:marTop w:val="0"/>
      <w:marBottom w:val="0"/>
      <w:divBdr>
        <w:top w:val="none" w:sz="0" w:space="0" w:color="auto"/>
        <w:left w:val="none" w:sz="0" w:space="0" w:color="auto"/>
        <w:bottom w:val="none" w:sz="0" w:space="0" w:color="auto"/>
        <w:right w:val="none" w:sz="0" w:space="0" w:color="auto"/>
      </w:divBdr>
      <w:divsChild>
        <w:div w:id="793258160">
          <w:marLeft w:val="0"/>
          <w:marRight w:val="0"/>
          <w:marTop w:val="0"/>
          <w:marBottom w:val="0"/>
          <w:divBdr>
            <w:top w:val="none" w:sz="0" w:space="0" w:color="auto"/>
            <w:left w:val="none" w:sz="0" w:space="0" w:color="auto"/>
            <w:bottom w:val="none" w:sz="0" w:space="0" w:color="auto"/>
            <w:right w:val="none" w:sz="0" w:space="0" w:color="auto"/>
          </w:divBdr>
          <w:divsChild>
            <w:div w:id="1807896564">
              <w:marLeft w:val="0"/>
              <w:marRight w:val="0"/>
              <w:marTop w:val="0"/>
              <w:marBottom w:val="0"/>
              <w:divBdr>
                <w:top w:val="none" w:sz="0" w:space="0" w:color="auto"/>
                <w:left w:val="none" w:sz="0" w:space="0" w:color="auto"/>
                <w:bottom w:val="none" w:sz="0" w:space="0" w:color="auto"/>
                <w:right w:val="none" w:sz="0" w:space="0" w:color="auto"/>
              </w:divBdr>
              <w:divsChild>
                <w:div w:id="1259951145">
                  <w:marLeft w:val="0"/>
                  <w:marRight w:val="0"/>
                  <w:marTop w:val="0"/>
                  <w:marBottom w:val="0"/>
                  <w:divBdr>
                    <w:top w:val="none" w:sz="0" w:space="0" w:color="auto"/>
                    <w:left w:val="none" w:sz="0" w:space="0" w:color="auto"/>
                    <w:bottom w:val="none" w:sz="0" w:space="0" w:color="auto"/>
                    <w:right w:val="none" w:sz="0" w:space="0" w:color="auto"/>
                  </w:divBdr>
                  <w:divsChild>
                    <w:div w:id="983311668">
                      <w:marLeft w:val="0"/>
                      <w:marRight w:val="0"/>
                      <w:marTop w:val="0"/>
                      <w:marBottom w:val="0"/>
                      <w:divBdr>
                        <w:top w:val="none" w:sz="0" w:space="0" w:color="auto"/>
                        <w:left w:val="none" w:sz="0" w:space="0" w:color="auto"/>
                        <w:bottom w:val="none" w:sz="0" w:space="0" w:color="auto"/>
                        <w:right w:val="none" w:sz="0" w:space="0" w:color="auto"/>
                      </w:divBdr>
                      <w:divsChild>
                        <w:div w:id="1847944026">
                          <w:marLeft w:val="0"/>
                          <w:marRight w:val="0"/>
                          <w:marTop w:val="0"/>
                          <w:marBottom w:val="0"/>
                          <w:divBdr>
                            <w:top w:val="none" w:sz="0" w:space="0" w:color="auto"/>
                            <w:left w:val="none" w:sz="0" w:space="0" w:color="auto"/>
                            <w:bottom w:val="none" w:sz="0" w:space="0" w:color="auto"/>
                            <w:right w:val="none" w:sz="0" w:space="0" w:color="auto"/>
                          </w:divBdr>
                          <w:divsChild>
                            <w:div w:id="1272126674">
                              <w:marLeft w:val="0"/>
                              <w:marRight w:val="0"/>
                              <w:marTop w:val="0"/>
                              <w:marBottom w:val="0"/>
                              <w:divBdr>
                                <w:top w:val="none" w:sz="0" w:space="0" w:color="auto"/>
                                <w:left w:val="none" w:sz="0" w:space="0" w:color="auto"/>
                                <w:bottom w:val="none" w:sz="0" w:space="0" w:color="auto"/>
                                <w:right w:val="none" w:sz="0" w:space="0" w:color="auto"/>
                              </w:divBdr>
                              <w:divsChild>
                                <w:div w:id="109279580">
                                  <w:marLeft w:val="0"/>
                                  <w:marRight w:val="0"/>
                                  <w:marTop w:val="0"/>
                                  <w:marBottom w:val="0"/>
                                  <w:divBdr>
                                    <w:top w:val="none" w:sz="0" w:space="0" w:color="auto"/>
                                    <w:left w:val="none" w:sz="0" w:space="0" w:color="auto"/>
                                    <w:bottom w:val="none" w:sz="0" w:space="0" w:color="auto"/>
                                    <w:right w:val="none" w:sz="0" w:space="0" w:color="auto"/>
                                  </w:divBdr>
                                  <w:divsChild>
                                    <w:div w:id="1071847721">
                                      <w:marLeft w:val="0"/>
                                      <w:marRight w:val="0"/>
                                      <w:marTop w:val="0"/>
                                      <w:marBottom w:val="0"/>
                                      <w:divBdr>
                                        <w:top w:val="none" w:sz="0" w:space="0" w:color="auto"/>
                                        <w:left w:val="none" w:sz="0" w:space="0" w:color="auto"/>
                                        <w:bottom w:val="none" w:sz="0" w:space="0" w:color="auto"/>
                                        <w:right w:val="none" w:sz="0" w:space="0" w:color="auto"/>
                                      </w:divBdr>
                                      <w:divsChild>
                                        <w:div w:id="910851120">
                                          <w:marLeft w:val="0"/>
                                          <w:marRight w:val="0"/>
                                          <w:marTop w:val="0"/>
                                          <w:marBottom w:val="0"/>
                                          <w:divBdr>
                                            <w:top w:val="none" w:sz="0" w:space="0" w:color="auto"/>
                                            <w:left w:val="none" w:sz="0" w:space="0" w:color="auto"/>
                                            <w:bottom w:val="none" w:sz="0" w:space="0" w:color="auto"/>
                                            <w:right w:val="none" w:sz="0" w:space="0" w:color="auto"/>
                                          </w:divBdr>
                                          <w:divsChild>
                                            <w:div w:id="2026710881">
                                              <w:marLeft w:val="0"/>
                                              <w:marRight w:val="0"/>
                                              <w:marTop w:val="0"/>
                                              <w:marBottom w:val="0"/>
                                              <w:divBdr>
                                                <w:top w:val="none" w:sz="0" w:space="0" w:color="auto"/>
                                                <w:left w:val="none" w:sz="0" w:space="0" w:color="auto"/>
                                                <w:bottom w:val="none" w:sz="0" w:space="0" w:color="auto"/>
                                                <w:right w:val="none" w:sz="0" w:space="0" w:color="auto"/>
                                              </w:divBdr>
                                              <w:divsChild>
                                                <w:div w:id="811488772">
                                                  <w:marLeft w:val="0"/>
                                                  <w:marRight w:val="0"/>
                                                  <w:marTop w:val="0"/>
                                                  <w:marBottom w:val="0"/>
                                                  <w:divBdr>
                                                    <w:top w:val="none" w:sz="0" w:space="0" w:color="auto"/>
                                                    <w:left w:val="none" w:sz="0" w:space="0" w:color="auto"/>
                                                    <w:bottom w:val="none" w:sz="0" w:space="0" w:color="auto"/>
                                                    <w:right w:val="none" w:sz="0" w:space="0" w:color="auto"/>
                                                  </w:divBdr>
                                                  <w:divsChild>
                                                    <w:div w:id="394158822">
                                                      <w:marLeft w:val="0"/>
                                                      <w:marRight w:val="0"/>
                                                      <w:marTop w:val="0"/>
                                                      <w:marBottom w:val="0"/>
                                                      <w:divBdr>
                                                        <w:top w:val="none" w:sz="0" w:space="0" w:color="auto"/>
                                                        <w:left w:val="none" w:sz="0" w:space="0" w:color="auto"/>
                                                        <w:bottom w:val="none" w:sz="0" w:space="0" w:color="auto"/>
                                                        <w:right w:val="none" w:sz="0" w:space="0" w:color="auto"/>
                                                      </w:divBdr>
                                                      <w:divsChild>
                                                        <w:div w:id="917985112">
                                                          <w:marLeft w:val="0"/>
                                                          <w:marRight w:val="0"/>
                                                          <w:marTop w:val="0"/>
                                                          <w:marBottom w:val="0"/>
                                                          <w:divBdr>
                                                            <w:top w:val="none" w:sz="0" w:space="0" w:color="auto"/>
                                                            <w:left w:val="none" w:sz="0" w:space="0" w:color="auto"/>
                                                            <w:bottom w:val="none" w:sz="0" w:space="0" w:color="auto"/>
                                                            <w:right w:val="none" w:sz="0" w:space="0" w:color="auto"/>
                                                          </w:divBdr>
                                                          <w:divsChild>
                                                            <w:div w:id="1764109737">
                                                              <w:marLeft w:val="0"/>
                                                              <w:marRight w:val="0"/>
                                                              <w:marTop w:val="0"/>
                                                              <w:marBottom w:val="0"/>
                                                              <w:divBdr>
                                                                <w:top w:val="none" w:sz="0" w:space="0" w:color="auto"/>
                                                                <w:left w:val="none" w:sz="0" w:space="0" w:color="auto"/>
                                                                <w:bottom w:val="none" w:sz="0" w:space="0" w:color="auto"/>
                                                                <w:right w:val="none" w:sz="0" w:space="0" w:color="auto"/>
                                                              </w:divBdr>
                                                              <w:divsChild>
                                                                <w:div w:id="1963146546">
                                                                  <w:marLeft w:val="0"/>
                                                                  <w:marRight w:val="0"/>
                                                                  <w:marTop w:val="0"/>
                                                                  <w:marBottom w:val="0"/>
                                                                  <w:divBdr>
                                                                    <w:top w:val="none" w:sz="0" w:space="0" w:color="auto"/>
                                                                    <w:left w:val="none" w:sz="0" w:space="0" w:color="auto"/>
                                                                    <w:bottom w:val="none" w:sz="0" w:space="0" w:color="auto"/>
                                                                    <w:right w:val="none" w:sz="0" w:space="0" w:color="auto"/>
                                                                  </w:divBdr>
                                                                  <w:divsChild>
                                                                    <w:div w:id="532108493">
                                                                      <w:marLeft w:val="0"/>
                                                                      <w:marRight w:val="0"/>
                                                                      <w:marTop w:val="0"/>
                                                                      <w:marBottom w:val="0"/>
                                                                      <w:divBdr>
                                                                        <w:top w:val="none" w:sz="0" w:space="0" w:color="auto"/>
                                                                        <w:left w:val="none" w:sz="0" w:space="0" w:color="auto"/>
                                                                        <w:bottom w:val="none" w:sz="0" w:space="0" w:color="auto"/>
                                                                        <w:right w:val="none" w:sz="0" w:space="0" w:color="auto"/>
                                                                      </w:divBdr>
                                                                      <w:divsChild>
                                                                        <w:div w:id="416756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09639692">
      <w:bodyDiv w:val="1"/>
      <w:marLeft w:val="0"/>
      <w:marRight w:val="0"/>
      <w:marTop w:val="0"/>
      <w:marBottom w:val="0"/>
      <w:divBdr>
        <w:top w:val="none" w:sz="0" w:space="0" w:color="auto"/>
        <w:left w:val="none" w:sz="0" w:space="0" w:color="auto"/>
        <w:bottom w:val="none" w:sz="0" w:space="0" w:color="auto"/>
        <w:right w:val="none" w:sz="0" w:space="0" w:color="auto"/>
      </w:divBdr>
    </w:div>
    <w:div w:id="586233849">
      <w:bodyDiv w:val="1"/>
      <w:marLeft w:val="0"/>
      <w:marRight w:val="0"/>
      <w:marTop w:val="0"/>
      <w:marBottom w:val="0"/>
      <w:divBdr>
        <w:top w:val="none" w:sz="0" w:space="0" w:color="auto"/>
        <w:left w:val="none" w:sz="0" w:space="0" w:color="auto"/>
        <w:bottom w:val="none" w:sz="0" w:space="0" w:color="auto"/>
        <w:right w:val="none" w:sz="0" w:space="0" w:color="auto"/>
      </w:divBdr>
    </w:div>
    <w:div w:id="620461312">
      <w:bodyDiv w:val="1"/>
      <w:marLeft w:val="0"/>
      <w:marRight w:val="0"/>
      <w:marTop w:val="0"/>
      <w:marBottom w:val="0"/>
      <w:divBdr>
        <w:top w:val="none" w:sz="0" w:space="0" w:color="auto"/>
        <w:left w:val="none" w:sz="0" w:space="0" w:color="auto"/>
        <w:bottom w:val="none" w:sz="0" w:space="0" w:color="auto"/>
        <w:right w:val="none" w:sz="0" w:space="0" w:color="auto"/>
      </w:divBdr>
    </w:div>
    <w:div w:id="645010608">
      <w:bodyDiv w:val="1"/>
      <w:marLeft w:val="0"/>
      <w:marRight w:val="0"/>
      <w:marTop w:val="0"/>
      <w:marBottom w:val="0"/>
      <w:divBdr>
        <w:top w:val="none" w:sz="0" w:space="0" w:color="auto"/>
        <w:left w:val="none" w:sz="0" w:space="0" w:color="auto"/>
        <w:bottom w:val="none" w:sz="0" w:space="0" w:color="auto"/>
        <w:right w:val="none" w:sz="0" w:space="0" w:color="auto"/>
      </w:divBdr>
    </w:div>
    <w:div w:id="843014979">
      <w:bodyDiv w:val="1"/>
      <w:marLeft w:val="0"/>
      <w:marRight w:val="0"/>
      <w:marTop w:val="0"/>
      <w:marBottom w:val="0"/>
      <w:divBdr>
        <w:top w:val="none" w:sz="0" w:space="0" w:color="auto"/>
        <w:left w:val="none" w:sz="0" w:space="0" w:color="auto"/>
        <w:bottom w:val="none" w:sz="0" w:space="0" w:color="auto"/>
        <w:right w:val="none" w:sz="0" w:space="0" w:color="auto"/>
      </w:divBdr>
    </w:div>
    <w:div w:id="1052924619">
      <w:bodyDiv w:val="1"/>
      <w:marLeft w:val="0"/>
      <w:marRight w:val="0"/>
      <w:marTop w:val="0"/>
      <w:marBottom w:val="0"/>
      <w:divBdr>
        <w:top w:val="none" w:sz="0" w:space="0" w:color="auto"/>
        <w:left w:val="none" w:sz="0" w:space="0" w:color="auto"/>
        <w:bottom w:val="none" w:sz="0" w:space="0" w:color="auto"/>
        <w:right w:val="none" w:sz="0" w:space="0" w:color="auto"/>
      </w:divBdr>
    </w:div>
    <w:div w:id="1210452923">
      <w:bodyDiv w:val="1"/>
      <w:marLeft w:val="0"/>
      <w:marRight w:val="0"/>
      <w:marTop w:val="0"/>
      <w:marBottom w:val="0"/>
      <w:divBdr>
        <w:top w:val="none" w:sz="0" w:space="0" w:color="auto"/>
        <w:left w:val="none" w:sz="0" w:space="0" w:color="auto"/>
        <w:bottom w:val="none" w:sz="0" w:space="0" w:color="auto"/>
        <w:right w:val="none" w:sz="0" w:space="0" w:color="auto"/>
      </w:divBdr>
    </w:div>
    <w:div w:id="1226717955">
      <w:bodyDiv w:val="1"/>
      <w:marLeft w:val="0"/>
      <w:marRight w:val="0"/>
      <w:marTop w:val="0"/>
      <w:marBottom w:val="0"/>
      <w:divBdr>
        <w:top w:val="none" w:sz="0" w:space="0" w:color="auto"/>
        <w:left w:val="none" w:sz="0" w:space="0" w:color="auto"/>
        <w:bottom w:val="none" w:sz="0" w:space="0" w:color="auto"/>
        <w:right w:val="none" w:sz="0" w:space="0" w:color="auto"/>
      </w:divBdr>
    </w:div>
    <w:div w:id="1441414091">
      <w:bodyDiv w:val="1"/>
      <w:marLeft w:val="0"/>
      <w:marRight w:val="0"/>
      <w:marTop w:val="0"/>
      <w:marBottom w:val="0"/>
      <w:divBdr>
        <w:top w:val="none" w:sz="0" w:space="0" w:color="auto"/>
        <w:left w:val="none" w:sz="0" w:space="0" w:color="auto"/>
        <w:bottom w:val="none" w:sz="0" w:space="0" w:color="auto"/>
        <w:right w:val="none" w:sz="0" w:space="0" w:color="auto"/>
      </w:divBdr>
    </w:div>
    <w:div w:id="1477380349">
      <w:bodyDiv w:val="1"/>
      <w:marLeft w:val="0"/>
      <w:marRight w:val="0"/>
      <w:marTop w:val="0"/>
      <w:marBottom w:val="0"/>
      <w:divBdr>
        <w:top w:val="none" w:sz="0" w:space="0" w:color="auto"/>
        <w:left w:val="none" w:sz="0" w:space="0" w:color="auto"/>
        <w:bottom w:val="none" w:sz="0" w:space="0" w:color="auto"/>
        <w:right w:val="none" w:sz="0" w:space="0" w:color="auto"/>
      </w:divBdr>
    </w:div>
    <w:div w:id="1491478481">
      <w:bodyDiv w:val="1"/>
      <w:marLeft w:val="0"/>
      <w:marRight w:val="0"/>
      <w:marTop w:val="0"/>
      <w:marBottom w:val="0"/>
      <w:divBdr>
        <w:top w:val="none" w:sz="0" w:space="0" w:color="auto"/>
        <w:left w:val="none" w:sz="0" w:space="0" w:color="auto"/>
        <w:bottom w:val="none" w:sz="0" w:space="0" w:color="auto"/>
        <w:right w:val="none" w:sz="0" w:space="0" w:color="auto"/>
      </w:divBdr>
    </w:div>
    <w:div w:id="1548641971">
      <w:bodyDiv w:val="1"/>
      <w:marLeft w:val="0"/>
      <w:marRight w:val="0"/>
      <w:marTop w:val="0"/>
      <w:marBottom w:val="0"/>
      <w:divBdr>
        <w:top w:val="none" w:sz="0" w:space="0" w:color="auto"/>
        <w:left w:val="none" w:sz="0" w:space="0" w:color="auto"/>
        <w:bottom w:val="none" w:sz="0" w:space="0" w:color="auto"/>
        <w:right w:val="none" w:sz="0" w:space="0" w:color="auto"/>
      </w:divBdr>
    </w:div>
    <w:div w:id="1764183871">
      <w:bodyDiv w:val="1"/>
      <w:marLeft w:val="0"/>
      <w:marRight w:val="0"/>
      <w:marTop w:val="0"/>
      <w:marBottom w:val="0"/>
      <w:divBdr>
        <w:top w:val="none" w:sz="0" w:space="0" w:color="auto"/>
        <w:left w:val="none" w:sz="0" w:space="0" w:color="auto"/>
        <w:bottom w:val="none" w:sz="0" w:space="0" w:color="auto"/>
        <w:right w:val="none" w:sz="0" w:space="0" w:color="auto"/>
      </w:divBdr>
    </w:div>
    <w:div w:id="1785880639">
      <w:bodyDiv w:val="1"/>
      <w:marLeft w:val="0"/>
      <w:marRight w:val="0"/>
      <w:marTop w:val="0"/>
      <w:marBottom w:val="0"/>
      <w:divBdr>
        <w:top w:val="none" w:sz="0" w:space="0" w:color="auto"/>
        <w:left w:val="none" w:sz="0" w:space="0" w:color="auto"/>
        <w:bottom w:val="none" w:sz="0" w:space="0" w:color="auto"/>
        <w:right w:val="none" w:sz="0" w:space="0" w:color="auto"/>
      </w:divBdr>
    </w:div>
    <w:div w:id="1822500957">
      <w:bodyDiv w:val="1"/>
      <w:marLeft w:val="0"/>
      <w:marRight w:val="0"/>
      <w:marTop w:val="0"/>
      <w:marBottom w:val="0"/>
      <w:divBdr>
        <w:top w:val="none" w:sz="0" w:space="0" w:color="auto"/>
        <w:left w:val="none" w:sz="0" w:space="0" w:color="auto"/>
        <w:bottom w:val="none" w:sz="0" w:space="0" w:color="auto"/>
        <w:right w:val="none" w:sz="0" w:space="0" w:color="auto"/>
      </w:divBdr>
    </w:div>
    <w:div w:id="1947226523">
      <w:bodyDiv w:val="1"/>
      <w:marLeft w:val="0"/>
      <w:marRight w:val="0"/>
      <w:marTop w:val="0"/>
      <w:marBottom w:val="0"/>
      <w:divBdr>
        <w:top w:val="none" w:sz="0" w:space="0" w:color="auto"/>
        <w:left w:val="none" w:sz="0" w:space="0" w:color="auto"/>
        <w:bottom w:val="none" w:sz="0" w:space="0" w:color="auto"/>
        <w:right w:val="none" w:sz="0" w:space="0" w:color="auto"/>
      </w:divBdr>
    </w:div>
    <w:div w:id="2007635890">
      <w:bodyDiv w:val="1"/>
      <w:marLeft w:val="0"/>
      <w:marRight w:val="0"/>
      <w:marTop w:val="0"/>
      <w:marBottom w:val="0"/>
      <w:divBdr>
        <w:top w:val="none" w:sz="0" w:space="0" w:color="auto"/>
        <w:left w:val="none" w:sz="0" w:space="0" w:color="auto"/>
        <w:bottom w:val="none" w:sz="0" w:space="0" w:color="auto"/>
        <w:right w:val="none" w:sz="0" w:space="0" w:color="auto"/>
      </w:divBdr>
      <w:divsChild>
        <w:div w:id="1762143398">
          <w:marLeft w:val="0"/>
          <w:marRight w:val="0"/>
          <w:marTop w:val="0"/>
          <w:marBottom w:val="0"/>
          <w:divBdr>
            <w:top w:val="none" w:sz="0" w:space="0" w:color="auto"/>
            <w:left w:val="none" w:sz="0" w:space="0" w:color="auto"/>
            <w:bottom w:val="none" w:sz="0" w:space="0" w:color="auto"/>
            <w:right w:val="none" w:sz="0" w:space="0" w:color="auto"/>
          </w:divBdr>
          <w:divsChild>
            <w:div w:id="178396885">
              <w:marLeft w:val="0"/>
              <w:marRight w:val="0"/>
              <w:marTop w:val="0"/>
              <w:marBottom w:val="0"/>
              <w:divBdr>
                <w:top w:val="none" w:sz="0" w:space="0" w:color="auto"/>
                <w:left w:val="none" w:sz="0" w:space="0" w:color="auto"/>
                <w:bottom w:val="none" w:sz="0" w:space="0" w:color="auto"/>
                <w:right w:val="none" w:sz="0" w:space="0" w:color="auto"/>
              </w:divBdr>
              <w:divsChild>
                <w:div w:id="37049954">
                  <w:marLeft w:val="0"/>
                  <w:marRight w:val="0"/>
                  <w:marTop w:val="0"/>
                  <w:marBottom w:val="0"/>
                  <w:divBdr>
                    <w:top w:val="none" w:sz="0" w:space="0" w:color="auto"/>
                    <w:left w:val="none" w:sz="0" w:space="0" w:color="auto"/>
                    <w:bottom w:val="none" w:sz="0" w:space="0" w:color="auto"/>
                    <w:right w:val="none" w:sz="0" w:space="0" w:color="auto"/>
                  </w:divBdr>
                  <w:divsChild>
                    <w:div w:id="1059134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3260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oleObject" Target="Macintosh%20HD:Users:thanok:OneDrive:Documents:Experiments:ARD:Test_ARD_Waterberg.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Macintosh%20HD:Users:thanok:OneDrive:Documents:Experiments:ARD:Test_ARD_Waterberg.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Macintosh%20HD:Users:thanok:OneDrive:Documents:Experiments:ARD:Test_ARD_Waterberg.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Macintosh%20HD:Users:thanok:OneDrive:Documents:Experiments:ARD:Test_ARD_Waterberg.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Macintosh%20HD:Users:thanok:OneDrive:Documents:Experiments:ARD:Test_ARD_Waterberg.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Macintosh%20HD:Users:thanok:OneDrive:Documents:Experiments:ARD:Test_ARD_Waterberg.xlsx" TargetMode="External"/><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a:lstStyle/>
          <a:p>
            <a:pPr>
              <a:defRPr sz="800"/>
            </a:pPr>
            <a:r>
              <a:rPr lang="en-US" sz="800"/>
              <a:t>(a) control</a:t>
            </a:r>
          </a:p>
        </c:rich>
      </c:tx>
      <c:layout>
        <c:manualLayout>
          <c:xMode val="edge"/>
          <c:yMode val="edge"/>
          <c:x val="0.43041162593445997"/>
          <c:y val="1.3320013320013299E-2"/>
        </c:manualLayout>
      </c:layout>
      <c:overlay val="0"/>
    </c:title>
    <c:autoTitleDeleted val="0"/>
    <c:plotArea>
      <c:layout>
        <c:manualLayout>
          <c:layoutTarget val="inner"/>
          <c:xMode val="edge"/>
          <c:yMode val="edge"/>
          <c:x val="0.115783744432731"/>
          <c:y val="0.126540126540127"/>
          <c:w val="0.82137281902125903"/>
          <c:h val="0.71823766784396703"/>
        </c:manualLayout>
      </c:layout>
      <c:scatterChart>
        <c:scatterStyle val="lineMarker"/>
        <c:varyColors val="0"/>
        <c:ser>
          <c:idx val="0"/>
          <c:order val="0"/>
          <c:tx>
            <c:v>control - WATER</c:v>
          </c:tx>
          <c:spPr>
            <a:ln w="47625">
              <a:noFill/>
            </a:ln>
          </c:spPr>
          <c:marker>
            <c:symbol val="diamond"/>
            <c:size val="5"/>
            <c:spPr>
              <a:ln>
                <a:solidFill>
                  <a:srgbClr val="1F497D"/>
                </a:solidFill>
              </a:ln>
            </c:spPr>
          </c:marker>
          <c:xVal>
            <c:numRef>
              <c:f>'water only - test holdup'!$D$20:$D$150</c:f>
              <c:numCache>
                <c:formatCode>0</c:formatCode>
                <c:ptCount val="114"/>
                <c:pt idx="0" formatCode="General">
                  <c:v>0</c:v>
                </c:pt>
                <c:pt idx="1">
                  <c:v>1.0381944444452531</c:v>
                </c:pt>
                <c:pt idx="2">
                  <c:v>2.0173611111094938</c:v>
                </c:pt>
                <c:pt idx="3">
                  <c:v>3.0173611111094938</c:v>
                </c:pt>
                <c:pt idx="4">
                  <c:v>4.0173611111094942</c:v>
                </c:pt>
                <c:pt idx="5">
                  <c:v>5.0590277777810124</c:v>
                </c:pt>
                <c:pt idx="6">
                  <c:v>7.0069444444452493</c:v>
                </c:pt>
                <c:pt idx="7">
                  <c:v>8.0277777777810115</c:v>
                </c:pt>
                <c:pt idx="8">
                  <c:v>9.0868055555547507</c:v>
                </c:pt>
                <c:pt idx="9">
                  <c:v>9.9965277777810098</c:v>
                </c:pt>
                <c:pt idx="10">
                  <c:v>11.003472222226261</c:v>
                </c:pt>
                <c:pt idx="11">
                  <c:v>12.003472222226261</c:v>
                </c:pt>
                <c:pt idx="12">
                  <c:v>14.097222222226261</c:v>
                </c:pt>
                <c:pt idx="13">
                  <c:v>14.96527777778101</c:v>
                </c:pt>
                <c:pt idx="14">
                  <c:v>16.034722222226261</c:v>
                </c:pt>
                <c:pt idx="15">
                  <c:v>16.954861111109501</c:v>
                </c:pt>
                <c:pt idx="16">
                  <c:v>17.954861111109501</c:v>
                </c:pt>
                <c:pt idx="17">
                  <c:v>20.3125</c:v>
                </c:pt>
                <c:pt idx="18">
                  <c:v>22.013888888890499</c:v>
                </c:pt>
                <c:pt idx="19">
                  <c:v>22.954861111109501</c:v>
                </c:pt>
                <c:pt idx="20">
                  <c:v>23.923611111109491</c:v>
                </c:pt>
                <c:pt idx="21">
                  <c:v>24.923611111109491</c:v>
                </c:pt>
                <c:pt idx="22">
                  <c:v>25.90277777778098</c:v>
                </c:pt>
                <c:pt idx="23">
                  <c:v>31.916666666664241</c:v>
                </c:pt>
                <c:pt idx="24">
                  <c:v>35.89930555555474</c:v>
                </c:pt>
                <c:pt idx="25">
                  <c:v>37.038194444445253</c:v>
                </c:pt>
                <c:pt idx="26">
                  <c:v>38.875</c:v>
                </c:pt>
                <c:pt idx="27">
                  <c:v>40.027777777780997</c:v>
                </c:pt>
                <c:pt idx="28">
                  <c:v>42.010416666664199</c:v>
                </c:pt>
                <c:pt idx="29">
                  <c:v>43.916666666664177</c:v>
                </c:pt>
                <c:pt idx="30">
                  <c:v>45.86250000000291</c:v>
                </c:pt>
                <c:pt idx="31">
                  <c:v>47.069444444445253</c:v>
                </c:pt>
                <c:pt idx="32">
                  <c:v>47.88194444444521</c:v>
                </c:pt>
                <c:pt idx="33">
                  <c:v>49.86805555555474</c:v>
                </c:pt>
                <c:pt idx="34">
                  <c:v>52.24305555555474</c:v>
                </c:pt>
                <c:pt idx="35">
                  <c:v>53.111111111109501</c:v>
                </c:pt>
                <c:pt idx="36">
                  <c:v>55.96875</c:v>
                </c:pt>
                <c:pt idx="37">
                  <c:v>58.069444444445253</c:v>
                </c:pt>
                <c:pt idx="38">
                  <c:v>58.94444444444521</c:v>
                </c:pt>
                <c:pt idx="39">
                  <c:v>60.861111111109501</c:v>
                </c:pt>
                <c:pt idx="40">
                  <c:v>63.045138888890499</c:v>
                </c:pt>
                <c:pt idx="41">
                  <c:v>64.871527777780955</c:v>
                </c:pt>
                <c:pt idx="42">
                  <c:v>66.86111111110948</c:v>
                </c:pt>
                <c:pt idx="43">
                  <c:v>68.95486111110948</c:v>
                </c:pt>
                <c:pt idx="44">
                  <c:v>71.04861111110948</c:v>
                </c:pt>
                <c:pt idx="45">
                  <c:v>74.86111111110948</c:v>
                </c:pt>
                <c:pt idx="46">
                  <c:v>77.03472222222625</c:v>
                </c:pt>
                <c:pt idx="47">
                  <c:v>78.871527777780955</c:v>
                </c:pt>
                <c:pt idx="48">
                  <c:v>80.871527777780955</c:v>
                </c:pt>
                <c:pt idx="49">
                  <c:v>84.874999999999986</c:v>
                </c:pt>
                <c:pt idx="50">
                  <c:v>87.100694444445267</c:v>
                </c:pt>
                <c:pt idx="51">
                  <c:v>88.868055555554662</c:v>
                </c:pt>
                <c:pt idx="52">
                  <c:v>90.996527777781012</c:v>
                </c:pt>
                <c:pt idx="53">
                  <c:v>92.86111111110948</c:v>
                </c:pt>
                <c:pt idx="54">
                  <c:v>94.86111111110948</c:v>
                </c:pt>
                <c:pt idx="55">
                  <c:v>96.934027777781012</c:v>
                </c:pt>
                <c:pt idx="56">
                  <c:v>98.888888888890406</c:v>
                </c:pt>
                <c:pt idx="57">
                  <c:v>100.9479166666642</c:v>
                </c:pt>
                <c:pt idx="58">
                  <c:v>102.86111111110949</c:v>
                </c:pt>
                <c:pt idx="59">
                  <c:v>104.9618055555547</c:v>
                </c:pt>
                <c:pt idx="60">
                  <c:v>107.0416666666642</c:v>
                </c:pt>
                <c:pt idx="61">
                  <c:v>108.8645833333358</c:v>
                </c:pt>
                <c:pt idx="62">
                  <c:v>110.996527777781</c:v>
                </c:pt>
                <c:pt idx="63">
                  <c:v>112.86111111110949</c:v>
                </c:pt>
                <c:pt idx="64">
                  <c:v>114.86111111110949</c:v>
                </c:pt>
                <c:pt idx="65">
                  <c:v>118.98611111110949</c:v>
                </c:pt>
                <c:pt idx="66">
                  <c:v>120.86111111110949</c:v>
                </c:pt>
                <c:pt idx="67">
                  <c:v>122.86111111110949</c:v>
                </c:pt>
                <c:pt idx="68">
                  <c:v>126.8645833333358</c:v>
                </c:pt>
                <c:pt idx="69">
                  <c:v>128.85763888889051</c:v>
                </c:pt>
                <c:pt idx="70">
                  <c:v>133.02777777778101</c:v>
                </c:pt>
                <c:pt idx="71">
                  <c:v>135.11805555555469</c:v>
                </c:pt>
                <c:pt idx="72">
                  <c:v>136.86458333333579</c:v>
                </c:pt>
                <c:pt idx="73">
                  <c:v>140.88194444444531</c:v>
                </c:pt>
                <c:pt idx="74">
                  <c:v>142.86458333333579</c:v>
                </c:pt>
                <c:pt idx="75">
                  <c:v>153.00347222222629</c:v>
                </c:pt>
                <c:pt idx="76">
                  <c:v>157.85416666666421</c:v>
                </c:pt>
                <c:pt idx="77">
                  <c:v>160.01736111110949</c:v>
                </c:pt>
                <c:pt idx="78">
                  <c:v>161.85763888889051</c:v>
                </c:pt>
                <c:pt idx="79">
                  <c:v>168.02430555555469</c:v>
                </c:pt>
                <c:pt idx="80">
                  <c:v>169.86111111110949</c:v>
                </c:pt>
                <c:pt idx="81">
                  <c:v>173.98263888889051</c:v>
                </c:pt>
                <c:pt idx="82">
                  <c:v>175.85763888889051</c:v>
                </c:pt>
                <c:pt idx="83">
                  <c:v>177.97222222222629</c:v>
                </c:pt>
                <c:pt idx="84">
                  <c:v>179.86111111110949</c:v>
                </c:pt>
                <c:pt idx="85">
                  <c:v>181.97569444444531</c:v>
                </c:pt>
                <c:pt idx="86">
                  <c:v>183.86111111110949</c:v>
                </c:pt>
                <c:pt idx="87">
                  <c:v>185.86111111110949</c:v>
                </c:pt>
                <c:pt idx="88">
                  <c:v>187.99652777778101</c:v>
                </c:pt>
                <c:pt idx="89">
                  <c:v>189.85416666666421</c:v>
                </c:pt>
                <c:pt idx="90">
                  <c:v>196.86111111110949</c:v>
                </c:pt>
                <c:pt idx="91">
                  <c:v>198.85416666666421</c:v>
                </c:pt>
                <c:pt idx="92">
                  <c:v>200.84722222222629</c:v>
                </c:pt>
                <c:pt idx="93">
                  <c:v>203.84722222222629</c:v>
                </c:pt>
                <c:pt idx="94">
                  <c:v>205.85416666666421</c:v>
                </c:pt>
                <c:pt idx="95">
                  <c:v>207.85763888889051</c:v>
                </c:pt>
                <c:pt idx="96">
                  <c:v>210.85069444444531</c:v>
                </c:pt>
                <c:pt idx="97">
                  <c:v>212.85763888889051</c:v>
                </c:pt>
                <c:pt idx="98">
                  <c:v>214.85416666666421</c:v>
                </c:pt>
                <c:pt idx="99">
                  <c:v>217.86111111110949</c:v>
                </c:pt>
                <c:pt idx="100">
                  <c:v>221.11111111110949</c:v>
                </c:pt>
                <c:pt idx="101">
                  <c:v>224.00694444444531</c:v>
                </c:pt>
                <c:pt idx="102">
                  <c:v>225.85416666666421</c:v>
                </c:pt>
                <c:pt idx="103">
                  <c:v>227.86111111110949</c:v>
                </c:pt>
                <c:pt idx="104">
                  <c:v>230.20486111110949</c:v>
                </c:pt>
                <c:pt idx="105">
                  <c:v>231.86111111110949</c:v>
                </c:pt>
                <c:pt idx="106">
                  <c:v>233.84722222222629</c:v>
                </c:pt>
                <c:pt idx="107">
                  <c:v>235.85416666666421</c:v>
                </c:pt>
                <c:pt idx="108">
                  <c:v>238.85069444444531</c:v>
                </c:pt>
                <c:pt idx="109">
                  <c:v>241.85416666666421</c:v>
                </c:pt>
                <c:pt idx="110">
                  <c:v>243.97222222222629</c:v>
                </c:pt>
                <c:pt idx="111">
                  <c:v>245.85069444444531</c:v>
                </c:pt>
                <c:pt idx="112">
                  <c:v>247.85416666666421</c:v>
                </c:pt>
                <c:pt idx="113">
                  <c:v>249.85763888889051</c:v>
                </c:pt>
              </c:numCache>
            </c:numRef>
          </c:xVal>
          <c:yVal>
            <c:numRef>
              <c:f>'water only - test holdup'!$H$20:$H$150</c:f>
              <c:numCache>
                <c:formatCode>General</c:formatCode>
                <c:ptCount val="114"/>
                <c:pt idx="0">
                  <c:v>9.15</c:v>
                </c:pt>
                <c:pt idx="1">
                  <c:v>3.71</c:v>
                </c:pt>
                <c:pt idx="2">
                  <c:v>3.72</c:v>
                </c:pt>
                <c:pt idx="3">
                  <c:v>3.46</c:v>
                </c:pt>
                <c:pt idx="4">
                  <c:v>3.99</c:v>
                </c:pt>
                <c:pt idx="5">
                  <c:v>4.33</c:v>
                </c:pt>
                <c:pt idx="6">
                  <c:v>4.75</c:v>
                </c:pt>
                <c:pt idx="7">
                  <c:v>4.8099999999999996</c:v>
                </c:pt>
                <c:pt idx="8">
                  <c:v>5.1199999999999974</c:v>
                </c:pt>
                <c:pt idx="9">
                  <c:v>5.76</c:v>
                </c:pt>
                <c:pt idx="10">
                  <c:v>5.98</c:v>
                </c:pt>
                <c:pt idx="11">
                  <c:v>5.94</c:v>
                </c:pt>
                <c:pt idx="12">
                  <c:v>6.07</c:v>
                </c:pt>
                <c:pt idx="13">
                  <c:v>6.1499999999999986</c:v>
                </c:pt>
                <c:pt idx="14">
                  <c:v>6.05</c:v>
                </c:pt>
                <c:pt idx="15">
                  <c:v>6.14</c:v>
                </c:pt>
                <c:pt idx="16">
                  <c:v>6.18</c:v>
                </c:pt>
                <c:pt idx="17">
                  <c:v>6.1</c:v>
                </c:pt>
                <c:pt idx="18">
                  <c:v>6.01</c:v>
                </c:pt>
                <c:pt idx="19">
                  <c:v>5.42</c:v>
                </c:pt>
                <c:pt idx="20">
                  <c:v>5.31</c:v>
                </c:pt>
                <c:pt idx="21">
                  <c:v>5.35</c:v>
                </c:pt>
                <c:pt idx="22">
                  <c:v>5.41</c:v>
                </c:pt>
                <c:pt idx="23">
                  <c:v>4.46</c:v>
                </c:pt>
                <c:pt idx="24">
                  <c:v>6.05</c:v>
                </c:pt>
                <c:pt idx="25">
                  <c:v>5.0199999999999996</c:v>
                </c:pt>
                <c:pt idx="26">
                  <c:v>4.4800000000000004</c:v>
                </c:pt>
                <c:pt idx="27">
                  <c:v>4.72</c:v>
                </c:pt>
                <c:pt idx="28">
                  <c:v>5.76</c:v>
                </c:pt>
                <c:pt idx="29">
                  <c:v>6.33</c:v>
                </c:pt>
                <c:pt idx="30">
                  <c:v>5.04</c:v>
                </c:pt>
                <c:pt idx="31">
                  <c:v>4.7</c:v>
                </c:pt>
                <c:pt idx="32">
                  <c:v>4.26</c:v>
                </c:pt>
                <c:pt idx="33">
                  <c:v>4.41</c:v>
                </c:pt>
                <c:pt idx="34">
                  <c:v>4.51</c:v>
                </c:pt>
                <c:pt idx="35">
                  <c:v>4.57</c:v>
                </c:pt>
                <c:pt idx="36">
                  <c:v>4.25</c:v>
                </c:pt>
                <c:pt idx="37">
                  <c:v>3.78</c:v>
                </c:pt>
                <c:pt idx="38">
                  <c:v>3.76</c:v>
                </c:pt>
                <c:pt idx="39">
                  <c:v>3.84</c:v>
                </c:pt>
                <c:pt idx="41">
                  <c:v>3.81</c:v>
                </c:pt>
                <c:pt idx="42">
                  <c:v>3.8</c:v>
                </c:pt>
                <c:pt idx="43">
                  <c:v>4.07</c:v>
                </c:pt>
                <c:pt idx="44">
                  <c:v>4.3499999999999996</c:v>
                </c:pt>
                <c:pt idx="45">
                  <c:v>3.9</c:v>
                </c:pt>
                <c:pt idx="46">
                  <c:v>3.4</c:v>
                </c:pt>
                <c:pt idx="47">
                  <c:v>3.64</c:v>
                </c:pt>
                <c:pt idx="48">
                  <c:v>3.21</c:v>
                </c:pt>
                <c:pt idx="49">
                  <c:v>2.88</c:v>
                </c:pt>
                <c:pt idx="50">
                  <c:v>3.61</c:v>
                </c:pt>
                <c:pt idx="51">
                  <c:v>3.8</c:v>
                </c:pt>
                <c:pt idx="52">
                  <c:v>3.17</c:v>
                </c:pt>
                <c:pt idx="53">
                  <c:v>3.73</c:v>
                </c:pt>
                <c:pt idx="54">
                  <c:v>3.88</c:v>
                </c:pt>
                <c:pt idx="55">
                  <c:v>3.8</c:v>
                </c:pt>
                <c:pt idx="56">
                  <c:v>3.68</c:v>
                </c:pt>
                <c:pt idx="57">
                  <c:v>3.91</c:v>
                </c:pt>
                <c:pt idx="58">
                  <c:v>4.05</c:v>
                </c:pt>
                <c:pt idx="59">
                  <c:v>3.91</c:v>
                </c:pt>
                <c:pt idx="60">
                  <c:v>3.69</c:v>
                </c:pt>
                <c:pt idx="61">
                  <c:v>3.67</c:v>
                </c:pt>
                <c:pt idx="62">
                  <c:v>3.51</c:v>
                </c:pt>
                <c:pt idx="63">
                  <c:v>3.43</c:v>
                </c:pt>
                <c:pt idx="64">
                  <c:v>3.5</c:v>
                </c:pt>
                <c:pt idx="65">
                  <c:v>3.51</c:v>
                </c:pt>
                <c:pt idx="66">
                  <c:v>3.52</c:v>
                </c:pt>
                <c:pt idx="67">
                  <c:v>3.49</c:v>
                </c:pt>
                <c:pt idx="68">
                  <c:v>3.52</c:v>
                </c:pt>
                <c:pt idx="69">
                  <c:v>3.53</c:v>
                </c:pt>
                <c:pt idx="70">
                  <c:v>3.71</c:v>
                </c:pt>
                <c:pt idx="71">
                  <c:v>3.91</c:v>
                </c:pt>
                <c:pt idx="72">
                  <c:v>4.03</c:v>
                </c:pt>
                <c:pt idx="73">
                  <c:v>3.71</c:v>
                </c:pt>
                <c:pt idx="74">
                  <c:v>3.68</c:v>
                </c:pt>
                <c:pt idx="75">
                  <c:v>3.67</c:v>
                </c:pt>
                <c:pt idx="76">
                  <c:v>3.95</c:v>
                </c:pt>
                <c:pt idx="77">
                  <c:v>3.75</c:v>
                </c:pt>
                <c:pt idx="78">
                  <c:v>3.78</c:v>
                </c:pt>
                <c:pt idx="79">
                  <c:v>3.97</c:v>
                </c:pt>
                <c:pt idx="80">
                  <c:v>3.99</c:v>
                </c:pt>
                <c:pt idx="81">
                  <c:v>3.85</c:v>
                </c:pt>
                <c:pt idx="82">
                  <c:v>4.33</c:v>
                </c:pt>
                <c:pt idx="85">
                  <c:v>3.79</c:v>
                </c:pt>
                <c:pt idx="86">
                  <c:v>3.63</c:v>
                </c:pt>
                <c:pt idx="87">
                  <c:v>3.59</c:v>
                </c:pt>
                <c:pt idx="88">
                  <c:v>3.6</c:v>
                </c:pt>
                <c:pt idx="89">
                  <c:v>3.63</c:v>
                </c:pt>
                <c:pt idx="90">
                  <c:v>3.86</c:v>
                </c:pt>
                <c:pt idx="91">
                  <c:v>3.68</c:v>
                </c:pt>
                <c:pt idx="92">
                  <c:v>3.7</c:v>
                </c:pt>
                <c:pt idx="93">
                  <c:v>3.66</c:v>
                </c:pt>
                <c:pt idx="94">
                  <c:v>3.68</c:v>
                </c:pt>
                <c:pt idx="95">
                  <c:v>3.82</c:v>
                </c:pt>
                <c:pt idx="96">
                  <c:v>3.92</c:v>
                </c:pt>
                <c:pt idx="97">
                  <c:v>4.22</c:v>
                </c:pt>
                <c:pt idx="98">
                  <c:v>3.88</c:v>
                </c:pt>
                <c:pt idx="99">
                  <c:v>3.87</c:v>
                </c:pt>
                <c:pt idx="100">
                  <c:v>3.84</c:v>
                </c:pt>
                <c:pt idx="101">
                  <c:v>3.81</c:v>
                </c:pt>
                <c:pt idx="102">
                  <c:v>4.2699999999999996</c:v>
                </c:pt>
                <c:pt idx="103">
                  <c:v>4.24</c:v>
                </c:pt>
                <c:pt idx="104">
                  <c:v>4.04</c:v>
                </c:pt>
                <c:pt idx="105">
                  <c:v>3.98</c:v>
                </c:pt>
                <c:pt idx="106">
                  <c:v>3.82</c:v>
                </c:pt>
                <c:pt idx="107">
                  <c:v>3.79</c:v>
                </c:pt>
                <c:pt idx="108">
                  <c:v>3.47</c:v>
                </c:pt>
                <c:pt idx="109">
                  <c:v>3.1</c:v>
                </c:pt>
                <c:pt idx="110">
                  <c:v>2.9</c:v>
                </c:pt>
                <c:pt idx="111">
                  <c:v>2.79</c:v>
                </c:pt>
                <c:pt idx="112">
                  <c:v>3.17</c:v>
                </c:pt>
                <c:pt idx="113">
                  <c:v>3.57</c:v>
                </c:pt>
              </c:numCache>
            </c:numRef>
          </c:yVal>
          <c:smooth val="0"/>
        </c:ser>
        <c:ser>
          <c:idx val="2"/>
          <c:order val="1"/>
          <c:tx>
            <c:v>control - ABIOTIC</c:v>
          </c:tx>
          <c:spPr>
            <a:ln w="47625">
              <a:noFill/>
            </a:ln>
          </c:spPr>
          <c:marker>
            <c:symbol val="square"/>
            <c:size val="5"/>
            <c:spPr>
              <a:solidFill>
                <a:schemeClr val="accent5">
                  <a:lumMod val="75000"/>
                </a:schemeClr>
              </a:solidFill>
              <a:ln>
                <a:solidFill>
                  <a:schemeClr val="accent5">
                    <a:lumMod val="50000"/>
                  </a:schemeClr>
                </a:solidFill>
              </a:ln>
            </c:spPr>
          </c:marker>
          <c:xVal>
            <c:numRef>
              <c:f>'acid-water only - test'!$D$24:$D$116</c:f>
              <c:numCache>
                <c:formatCode>0</c:formatCode>
                <c:ptCount val="81"/>
                <c:pt idx="0" formatCode="General">
                  <c:v>0</c:v>
                </c:pt>
                <c:pt idx="1">
                  <c:v>1.138888888890506</c:v>
                </c:pt>
                <c:pt idx="2">
                  <c:v>2.163194444445252</c:v>
                </c:pt>
                <c:pt idx="3">
                  <c:v>3.03125</c:v>
                </c:pt>
                <c:pt idx="4">
                  <c:v>4.1736111111167702</c:v>
                </c:pt>
                <c:pt idx="5">
                  <c:v>5.8888888888905058</c:v>
                </c:pt>
                <c:pt idx="6">
                  <c:v>7.9895833333357587</c:v>
                </c:pt>
                <c:pt idx="7">
                  <c:v>8.8645833333357604</c:v>
                </c:pt>
                <c:pt idx="8">
                  <c:v>10.78125</c:v>
                </c:pt>
                <c:pt idx="9">
                  <c:v>12.96527777778101</c:v>
                </c:pt>
                <c:pt idx="10">
                  <c:v>14.791666666671521</c:v>
                </c:pt>
                <c:pt idx="11">
                  <c:v>16.78125</c:v>
                </c:pt>
                <c:pt idx="12">
                  <c:v>18.875</c:v>
                </c:pt>
                <c:pt idx="13">
                  <c:v>20.96875</c:v>
                </c:pt>
                <c:pt idx="14">
                  <c:v>22.868055555554751</c:v>
                </c:pt>
                <c:pt idx="15">
                  <c:v>24.78125</c:v>
                </c:pt>
                <c:pt idx="16">
                  <c:v>26.95486111111677</c:v>
                </c:pt>
                <c:pt idx="17">
                  <c:v>28.791666666671521</c:v>
                </c:pt>
                <c:pt idx="18">
                  <c:v>30.791666666671521</c:v>
                </c:pt>
                <c:pt idx="19">
                  <c:v>37.020833333335752</c:v>
                </c:pt>
                <c:pt idx="20">
                  <c:v>38.788194444445253</c:v>
                </c:pt>
                <c:pt idx="21">
                  <c:v>40.916666666671482</c:v>
                </c:pt>
                <c:pt idx="22">
                  <c:v>42.78125</c:v>
                </c:pt>
                <c:pt idx="23">
                  <c:v>44.78125</c:v>
                </c:pt>
                <c:pt idx="24">
                  <c:v>46.854166666671482</c:v>
                </c:pt>
                <c:pt idx="25">
                  <c:v>52.78125</c:v>
                </c:pt>
                <c:pt idx="26">
                  <c:v>54.88194444444521</c:v>
                </c:pt>
                <c:pt idx="27">
                  <c:v>56.961805555554747</c:v>
                </c:pt>
                <c:pt idx="28">
                  <c:v>60.916666666671482</c:v>
                </c:pt>
                <c:pt idx="29">
                  <c:v>62.78125</c:v>
                </c:pt>
                <c:pt idx="30">
                  <c:v>64.78125</c:v>
                </c:pt>
                <c:pt idx="31">
                  <c:v>68.90625</c:v>
                </c:pt>
                <c:pt idx="32">
                  <c:v>70.78125</c:v>
                </c:pt>
                <c:pt idx="33">
                  <c:v>72.78125</c:v>
                </c:pt>
                <c:pt idx="34">
                  <c:v>76.78472222222625</c:v>
                </c:pt>
                <c:pt idx="35">
                  <c:v>78.777777777780898</c:v>
                </c:pt>
                <c:pt idx="36">
                  <c:v>82.947916666671503</c:v>
                </c:pt>
                <c:pt idx="37">
                  <c:v>85.038194444445267</c:v>
                </c:pt>
                <c:pt idx="38">
                  <c:v>86.78472222222625</c:v>
                </c:pt>
                <c:pt idx="39">
                  <c:v>90.802083333335702</c:v>
                </c:pt>
                <c:pt idx="40">
                  <c:v>92.78472222222625</c:v>
                </c:pt>
                <c:pt idx="41">
                  <c:v>100.79513888889051</c:v>
                </c:pt>
                <c:pt idx="42">
                  <c:v>102.9236111111168</c:v>
                </c:pt>
                <c:pt idx="43">
                  <c:v>107.7743055555547</c:v>
                </c:pt>
                <c:pt idx="44">
                  <c:v>109.9375</c:v>
                </c:pt>
                <c:pt idx="45">
                  <c:v>111.777777777781</c:v>
                </c:pt>
                <c:pt idx="46">
                  <c:v>117.9444444444453</c:v>
                </c:pt>
                <c:pt idx="47">
                  <c:v>119.78125</c:v>
                </c:pt>
                <c:pt idx="48">
                  <c:v>121.777777777781</c:v>
                </c:pt>
                <c:pt idx="49">
                  <c:v>123.902777777781</c:v>
                </c:pt>
                <c:pt idx="50">
                  <c:v>125.777777777781</c:v>
                </c:pt>
                <c:pt idx="51">
                  <c:v>127.8923611111168</c:v>
                </c:pt>
                <c:pt idx="52">
                  <c:v>129.78125</c:v>
                </c:pt>
                <c:pt idx="53">
                  <c:v>131.89583333333579</c:v>
                </c:pt>
                <c:pt idx="54">
                  <c:v>133.78125</c:v>
                </c:pt>
                <c:pt idx="55">
                  <c:v>135.78125</c:v>
                </c:pt>
                <c:pt idx="56">
                  <c:v>139.77430555555469</c:v>
                </c:pt>
                <c:pt idx="57">
                  <c:v>146.78125</c:v>
                </c:pt>
                <c:pt idx="58">
                  <c:v>148.77430555555469</c:v>
                </c:pt>
                <c:pt idx="59">
                  <c:v>150.7673611111168</c:v>
                </c:pt>
                <c:pt idx="60">
                  <c:v>153.7673611111168</c:v>
                </c:pt>
                <c:pt idx="61">
                  <c:v>155.77430555555469</c:v>
                </c:pt>
                <c:pt idx="62">
                  <c:v>157.77777777778101</c:v>
                </c:pt>
                <c:pt idx="63">
                  <c:v>160.77083333333579</c:v>
                </c:pt>
                <c:pt idx="64">
                  <c:v>162.77777777778101</c:v>
                </c:pt>
                <c:pt idx="65">
                  <c:v>164.77430555555469</c:v>
                </c:pt>
                <c:pt idx="66">
                  <c:v>167.48958333333579</c:v>
                </c:pt>
                <c:pt idx="67">
                  <c:v>171.03125</c:v>
                </c:pt>
                <c:pt idx="68">
                  <c:v>173.92708333333579</c:v>
                </c:pt>
                <c:pt idx="69">
                  <c:v>175.77430555555469</c:v>
                </c:pt>
                <c:pt idx="70">
                  <c:v>177.78125</c:v>
                </c:pt>
                <c:pt idx="71">
                  <c:v>180.125</c:v>
                </c:pt>
                <c:pt idx="72">
                  <c:v>181.78125</c:v>
                </c:pt>
                <c:pt idx="73">
                  <c:v>183.7673611111168</c:v>
                </c:pt>
                <c:pt idx="74">
                  <c:v>185.77430555555469</c:v>
                </c:pt>
                <c:pt idx="75">
                  <c:v>188.77083333333579</c:v>
                </c:pt>
                <c:pt idx="76">
                  <c:v>191.77430555555469</c:v>
                </c:pt>
                <c:pt idx="77">
                  <c:v>193.8923611111168</c:v>
                </c:pt>
                <c:pt idx="78">
                  <c:v>195.77083333333579</c:v>
                </c:pt>
                <c:pt idx="79">
                  <c:v>197.77430555555469</c:v>
                </c:pt>
                <c:pt idx="80">
                  <c:v>199.77777777778101</c:v>
                </c:pt>
              </c:numCache>
            </c:numRef>
          </c:xVal>
          <c:yVal>
            <c:numRef>
              <c:f>'acid-water only - test'!$H$24:$H$116</c:f>
              <c:numCache>
                <c:formatCode>General</c:formatCode>
                <c:ptCount val="81"/>
                <c:pt idx="0">
                  <c:v>2</c:v>
                </c:pt>
                <c:pt idx="1">
                  <c:v>2.86</c:v>
                </c:pt>
                <c:pt idx="2">
                  <c:v>2.76</c:v>
                </c:pt>
                <c:pt idx="3">
                  <c:v>2.66</c:v>
                </c:pt>
                <c:pt idx="4">
                  <c:v>2.61</c:v>
                </c:pt>
                <c:pt idx="5">
                  <c:v>2.48</c:v>
                </c:pt>
                <c:pt idx="6">
                  <c:v>2.35</c:v>
                </c:pt>
                <c:pt idx="7">
                  <c:v>2.35</c:v>
                </c:pt>
                <c:pt idx="8">
                  <c:v>2.31</c:v>
                </c:pt>
                <c:pt idx="10">
                  <c:v>2.3199999999999998</c:v>
                </c:pt>
                <c:pt idx="11">
                  <c:v>2.2999999999999998</c:v>
                </c:pt>
                <c:pt idx="12">
                  <c:v>2.2200000000000002</c:v>
                </c:pt>
                <c:pt idx="13">
                  <c:v>2.2200000000000002</c:v>
                </c:pt>
                <c:pt idx="14">
                  <c:v>2.13</c:v>
                </c:pt>
                <c:pt idx="15">
                  <c:v>2.16</c:v>
                </c:pt>
                <c:pt idx="16">
                  <c:v>2.2999999999999998</c:v>
                </c:pt>
                <c:pt idx="17">
                  <c:v>2.2200000000000002</c:v>
                </c:pt>
                <c:pt idx="18">
                  <c:v>2.21</c:v>
                </c:pt>
                <c:pt idx="19">
                  <c:v>2.1</c:v>
                </c:pt>
                <c:pt idx="20">
                  <c:v>2.08</c:v>
                </c:pt>
                <c:pt idx="21">
                  <c:v>2.11</c:v>
                </c:pt>
                <c:pt idx="22">
                  <c:v>2.1</c:v>
                </c:pt>
                <c:pt idx="23">
                  <c:v>2.15</c:v>
                </c:pt>
                <c:pt idx="24">
                  <c:v>2.12</c:v>
                </c:pt>
                <c:pt idx="25">
                  <c:v>2.2200000000000002</c:v>
                </c:pt>
                <c:pt idx="26">
                  <c:v>2.21</c:v>
                </c:pt>
                <c:pt idx="27">
                  <c:v>2.33</c:v>
                </c:pt>
                <c:pt idx="28">
                  <c:v>2.31</c:v>
                </c:pt>
                <c:pt idx="29">
                  <c:v>2.17</c:v>
                </c:pt>
                <c:pt idx="30">
                  <c:v>2.15</c:v>
                </c:pt>
                <c:pt idx="31">
                  <c:v>2.15</c:v>
                </c:pt>
                <c:pt idx="32">
                  <c:v>2.14</c:v>
                </c:pt>
                <c:pt idx="33">
                  <c:v>2.14</c:v>
                </c:pt>
                <c:pt idx="34">
                  <c:v>2.19</c:v>
                </c:pt>
                <c:pt idx="35">
                  <c:v>2.12</c:v>
                </c:pt>
                <c:pt idx="36">
                  <c:v>2.11</c:v>
                </c:pt>
                <c:pt idx="37">
                  <c:v>2.08</c:v>
                </c:pt>
                <c:pt idx="38">
                  <c:v>2.15</c:v>
                </c:pt>
                <c:pt idx="39">
                  <c:v>2.13</c:v>
                </c:pt>
                <c:pt idx="40">
                  <c:v>2.1</c:v>
                </c:pt>
                <c:pt idx="41">
                  <c:v>2.1</c:v>
                </c:pt>
                <c:pt idx="42">
                  <c:v>2.09</c:v>
                </c:pt>
                <c:pt idx="43">
                  <c:v>2.11</c:v>
                </c:pt>
                <c:pt idx="44">
                  <c:v>2.12</c:v>
                </c:pt>
                <c:pt idx="45">
                  <c:v>2.12</c:v>
                </c:pt>
                <c:pt idx="46">
                  <c:v>2.09</c:v>
                </c:pt>
                <c:pt idx="47">
                  <c:v>2.1</c:v>
                </c:pt>
                <c:pt idx="48">
                  <c:v>2.1</c:v>
                </c:pt>
                <c:pt idx="49">
                  <c:v>2.12</c:v>
                </c:pt>
                <c:pt idx="50">
                  <c:v>1.93</c:v>
                </c:pt>
                <c:pt idx="53">
                  <c:v>2.0699999999999998</c:v>
                </c:pt>
                <c:pt idx="54">
                  <c:v>2.0099999999999998</c:v>
                </c:pt>
                <c:pt idx="55">
                  <c:v>1.97</c:v>
                </c:pt>
                <c:pt idx="56">
                  <c:v>1.98</c:v>
                </c:pt>
                <c:pt idx="57">
                  <c:v>2.0299999999999998</c:v>
                </c:pt>
                <c:pt idx="58">
                  <c:v>2.0299999999999998</c:v>
                </c:pt>
                <c:pt idx="59">
                  <c:v>2.0299999999999998</c:v>
                </c:pt>
                <c:pt idx="60">
                  <c:v>2.06</c:v>
                </c:pt>
                <c:pt idx="61">
                  <c:v>2.0299999999999998</c:v>
                </c:pt>
                <c:pt idx="62">
                  <c:v>2.08</c:v>
                </c:pt>
                <c:pt idx="63">
                  <c:v>2.1</c:v>
                </c:pt>
                <c:pt idx="64">
                  <c:v>2.12</c:v>
                </c:pt>
                <c:pt idx="65">
                  <c:v>2.1</c:v>
                </c:pt>
                <c:pt idx="66">
                  <c:v>2.04</c:v>
                </c:pt>
                <c:pt idx="67">
                  <c:v>2.06</c:v>
                </c:pt>
                <c:pt idx="68">
                  <c:v>2.04</c:v>
                </c:pt>
                <c:pt idx="69">
                  <c:v>2.0699999999999998</c:v>
                </c:pt>
                <c:pt idx="70">
                  <c:v>2.15</c:v>
                </c:pt>
                <c:pt idx="71">
                  <c:v>2.17</c:v>
                </c:pt>
                <c:pt idx="72">
                  <c:v>2.21</c:v>
                </c:pt>
                <c:pt idx="73">
                  <c:v>2.1</c:v>
                </c:pt>
                <c:pt idx="74">
                  <c:v>2.0699999999999998</c:v>
                </c:pt>
                <c:pt idx="75">
                  <c:v>2.5099999999999998</c:v>
                </c:pt>
                <c:pt idx="76">
                  <c:v>2.0499999999999998</c:v>
                </c:pt>
                <c:pt idx="77">
                  <c:v>2.06</c:v>
                </c:pt>
                <c:pt idx="78">
                  <c:v>2.13</c:v>
                </c:pt>
                <c:pt idx="79">
                  <c:v>2.0699999999999998</c:v>
                </c:pt>
                <c:pt idx="80">
                  <c:v>2.0699999999999998</c:v>
                </c:pt>
              </c:numCache>
            </c:numRef>
          </c:yVal>
          <c:smooth val="0"/>
        </c:ser>
        <c:ser>
          <c:idx val="3"/>
          <c:order val="2"/>
          <c:tx>
            <c:v>control - BIOTIC</c:v>
          </c:tx>
          <c:spPr>
            <a:ln w="47625">
              <a:noFill/>
            </a:ln>
          </c:spPr>
          <c:marker>
            <c:symbol val="circle"/>
            <c:size val="5"/>
            <c:spPr>
              <a:solidFill>
                <a:schemeClr val="accent6">
                  <a:lumMod val="60000"/>
                  <a:lumOff val="40000"/>
                </a:schemeClr>
              </a:solidFill>
              <a:ln>
                <a:solidFill>
                  <a:schemeClr val="accent6"/>
                </a:solidFill>
              </a:ln>
            </c:spPr>
          </c:marker>
          <c:xVal>
            <c:numRef>
              <c:f>'acid-water-inoc - test'!$D$25:$D$117</c:f>
              <c:numCache>
                <c:formatCode>0</c:formatCode>
                <c:ptCount val="84"/>
                <c:pt idx="0" formatCode="General">
                  <c:v>0</c:v>
                </c:pt>
                <c:pt idx="1">
                  <c:v>1.138888888890506</c:v>
                </c:pt>
                <c:pt idx="2">
                  <c:v>2.163194444445252</c:v>
                </c:pt>
                <c:pt idx="3">
                  <c:v>3.03125</c:v>
                </c:pt>
                <c:pt idx="4">
                  <c:v>4.1736111111167702</c:v>
                </c:pt>
                <c:pt idx="5">
                  <c:v>5.8888888888905058</c:v>
                </c:pt>
                <c:pt idx="6">
                  <c:v>7.9895833333357587</c:v>
                </c:pt>
                <c:pt idx="7">
                  <c:v>8.8645833333357604</c:v>
                </c:pt>
                <c:pt idx="8">
                  <c:v>10.78125</c:v>
                </c:pt>
                <c:pt idx="9">
                  <c:v>12.96527777778101</c:v>
                </c:pt>
                <c:pt idx="10">
                  <c:v>14.791666666671521</c:v>
                </c:pt>
                <c:pt idx="11">
                  <c:v>16.78125</c:v>
                </c:pt>
                <c:pt idx="12">
                  <c:v>18.875</c:v>
                </c:pt>
                <c:pt idx="13">
                  <c:v>20.96875</c:v>
                </c:pt>
                <c:pt idx="14">
                  <c:v>22.868055555554751</c:v>
                </c:pt>
                <c:pt idx="15">
                  <c:v>24.78125</c:v>
                </c:pt>
                <c:pt idx="16">
                  <c:v>26.95486111111677</c:v>
                </c:pt>
                <c:pt idx="17">
                  <c:v>28.791666666671521</c:v>
                </c:pt>
                <c:pt idx="18">
                  <c:v>30.791666666671521</c:v>
                </c:pt>
                <c:pt idx="19">
                  <c:v>32.90625</c:v>
                </c:pt>
                <c:pt idx="20">
                  <c:v>34.795138888890499</c:v>
                </c:pt>
                <c:pt idx="21">
                  <c:v>37.020833333335752</c:v>
                </c:pt>
                <c:pt idx="22">
                  <c:v>38.788194444445253</c:v>
                </c:pt>
                <c:pt idx="23">
                  <c:v>40.916666666671482</c:v>
                </c:pt>
                <c:pt idx="24">
                  <c:v>42.78125</c:v>
                </c:pt>
                <c:pt idx="25">
                  <c:v>44.78125</c:v>
                </c:pt>
                <c:pt idx="26">
                  <c:v>46.854166666671482</c:v>
                </c:pt>
                <c:pt idx="27">
                  <c:v>48.809027777780969</c:v>
                </c:pt>
                <c:pt idx="28">
                  <c:v>50.86805555555474</c:v>
                </c:pt>
                <c:pt idx="29">
                  <c:v>54.88194444444521</c:v>
                </c:pt>
                <c:pt idx="30">
                  <c:v>56.961805555554747</c:v>
                </c:pt>
                <c:pt idx="31">
                  <c:v>58.784722222226257</c:v>
                </c:pt>
                <c:pt idx="32">
                  <c:v>60.916666666671482</c:v>
                </c:pt>
                <c:pt idx="33">
                  <c:v>62.78125</c:v>
                </c:pt>
                <c:pt idx="34">
                  <c:v>64.78125</c:v>
                </c:pt>
                <c:pt idx="35">
                  <c:v>68.90625</c:v>
                </c:pt>
                <c:pt idx="36">
                  <c:v>70.78125</c:v>
                </c:pt>
                <c:pt idx="37">
                  <c:v>72.78125</c:v>
                </c:pt>
                <c:pt idx="38">
                  <c:v>76.78472222222625</c:v>
                </c:pt>
                <c:pt idx="39">
                  <c:v>78.777777777780898</c:v>
                </c:pt>
                <c:pt idx="40">
                  <c:v>82.947916666671503</c:v>
                </c:pt>
                <c:pt idx="41">
                  <c:v>85.038194444445267</c:v>
                </c:pt>
                <c:pt idx="42">
                  <c:v>86.78472222222625</c:v>
                </c:pt>
                <c:pt idx="43">
                  <c:v>90.802083333335702</c:v>
                </c:pt>
                <c:pt idx="44">
                  <c:v>92.78472222222625</c:v>
                </c:pt>
                <c:pt idx="45">
                  <c:v>100.79513888889051</c:v>
                </c:pt>
                <c:pt idx="46">
                  <c:v>102.9236111111168</c:v>
                </c:pt>
                <c:pt idx="47">
                  <c:v>105.7881944444453</c:v>
                </c:pt>
                <c:pt idx="48">
                  <c:v>107.7743055555547</c:v>
                </c:pt>
                <c:pt idx="49">
                  <c:v>109.9375</c:v>
                </c:pt>
                <c:pt idx="50">
                  <c:v>119.78125</c:v>
                </c:pt>
                <c:pt idx="51">
                  <c:v>121.777777777781</c:v>
                </c:pt>
                <c:pt idx="52">
                  <c:v>123.902777777781</c:v>
                </c:pt>
                <c:pt idx="53">
                  <c:v>125.777777777781</c:v>
                </c:pt>
                <c:pt idx="54">
                  <c:v>127.8923611111168</c:v>
                </c:pt>
                <c:pt idx="55">
                  <c:v>129.78125</c:v>
                </c:pt>
                <c:pt idx="56">
                  <c:v>131.89583333333579</c:v>
                </c:pt>
                <c:pt idx="57">
                  <c:v>133.48958333333579</c:v>
                </c:pt>
                <c:pt idx="58">
                  <c:v>135.78125</c:v>
                </c:pt>
                <c:pt idx="59">
                  <c:v>137.91666666667149</c:v>
                </c:pt>
                <c:pt idx="60">
                  <c:v>139.77430555555469</c:v>
                </c:pt>
                <c:pt idx="61">
                  <c:v>146.78125</c:v>
                </c:pt>
                <c:pt idx="62">
                  <c:v>148.77430555555469</c:v>
                </c:pt>
                <c:pt idx="63">
                  <c:v>150.7673611111168</c:v>
                </c:pt>
                <c:pt idx="64">
                  <c:v>153.7673611111168</c:v>
                </c:pt>
                <c:pt idx="65">
                  <c:v>155.77430555555469</c:v>
                </c:pt>
                <c:pt idx="66">
                  <c:v>157.77777777778101</c:v>
                </c:pt>
                <c:pt idx="67">
                  <c:v>160.77083333333579</c:v>
                </c:pt>
                <c:pt idx="68">
                  <c:v>162.77777777778101</c:v>
                </c:pt>
                <c:pt idx="69">
                  <c:v>164.77430555555469</c:v>
                </c:pt>
                <c:pt idx="70">
                  <c:v>167.78125</c:v>
                </c:pt>
                <c:pt idx="71">
                  <c:v>171.03125</c:v>
                </c:pt>
                <c:pt idx="72">
                  <c:v>173.92708333333579</c:v>
                </c:pt>
                <c:pt idx="73">
                  <c:v>175.77430555555469</c:v>
                </c:pt>
                <c:pt idx="74">
                  <c:v>177.78125</c:v>
                </c:pt>
                <c:pt idx="75">
                  <c:v>180.125</c:v>
                </c:pt>
                <c:pt idx="76">
                  <c:v>181.78125</c:v>
                </c:pt>
                <c:pt idx="77">
                  <c:v>183.7673611111168</c:v>
                </c:pt>
                <c:pt idx="78">
                  <c:v>185.77430555555469</c:v>
                </c:pt>
                <c:pt idx="79">
                  <c:v>188.77083333333579</c:v>
                </c:pt>
                <c:pt idx="80">
                  <c:v>193.8923611111168</c:v>
                </c:pt>
                <c:pt idx="81">
                  <c:v>195.77083333333579</c:v>
                </c:pt>
                <c:pt idx="82">
                  <c:v>197.77430555555469</c:v>
                </c:pt>
                <c:pt idx="83">
                  <c:v>199.77777777778101</c:v>
                </c:pt>
              </c:numCache>
            </c:numRef>
          </c:xVal>
          <c:yVal>
            <c:numRef>
              <c:f>'acid-water-inoc - test'!$H$25:$H$117</c:f>
              <c:numCache>
                <c:formatCode>General</c:formatCode>
                <c:ptCount val="84"/>
                <c:pt idx="0">
                  <c:v>2</c:v>
                </c:pt>
                <c:pt idx="1">
                  <c:v>2.72</c:v>
                </c:pt>
                <c:pt idx="2">
                  <c:v>2.5499999999999998</c:v>
                </c:pt>
                <c:pt idx="3">
                  <c:v>2.5099999999999998</c:v>
                </c:pt>
                <c:pt idx="4">
                  <c:v>2.5099999999999998</c:v>
                </c:pt>
                <c:pt idx="5">
                  <c:v>2.35</c:v>
                </c:pt>
                <c:pt idx="6">
                  <c:v>2.2400000000000002</c:v>
                </c:pt>
                <c:pt idx="7">
                  <c:v>2.38</c:v>
                </c:pt>
                <c:pt idx="8">
                  <c:v>2.2799999999999998</c:v>
                </c:pt>
                <c:pt idx="10">
                  <c:v>2.2599999999999998</c:v>
                </c:pt>
                <c:pt idx="11">
                  <c:v>2.36</c:v>
                </c:pt>
                <c:pt idx="12">
                  <c:v>2.1800000000000002</c:v>
                </c:pt>
                <c:pt idx="13">
                  <c:v>2.2400000000000002</c:v>
                </c:pt>
                <c:pt idx="14">
                  <c:v>2.12</c:v>
                </c:pt>
                <c:pt idx="15">
                  <c:v>2.16</c:v>
                </c:pt>
                <c:pt idx="16">
                  <c:v>2.31</c:v>
                </c:pt>
                <c:pt idx="17">
                  <c:v>2.16</c:v>
                </c:pt>
                <c:pt idx="18">
                  <c:v>2.34</c:v>
                </c:pt>
                <c:pt idx="19">
                  <c:v>2.17</c:v>
                </c:pt>
                <c:pt idx="20">
                  <c:v>2.2799999999999998</c:v>
                </c:pt>
                <c:pt idx="21">
                  <c:v>2.23</c:v>
                </c:pt>
                <c:pt idx="22">
                  <c:v>2.09</c:v>
                </c:pt>
                <c:pt idx="23">
                  <c:v>2.08</c:v>
                </c:pt>
                <c:pt idx="24">
                  <c:v>2.17</c:v>
                </c:pt>
                <c:pt idx="25">
                  <c:v>2.19</c:v>
                </c:pt>
                <c:pt idx="26">
                  <c:v>2.16</c:v>
                </c:pt>
                <c:pt idx="27">
                  <c:v>2.16</c:v>
                </c:pt>
                <c:pt idx="28">
                  <c:v>2.1</c:v>
                </c:pt>
                <c:pt idx="29">
                  <c:v>2.2200000000000002</c:v>
                </c:pt>
                <c:pt idx="30">
                  <c:v>2.21</c:v>
                </c:pt>
                <c:pt idx="31">
                  <c:v>2.23</c:v>
                </c:pt>
                <c:pt idx="32">
                  <c:v>2.25</c:v>
                </c:pt>
                <c:pt idx="33">
                  <c:v>2.25</c:v>
                </c:pt>
                <c:pt idx="34">
                  <c:v>2.17</c:v>
                </c:pt>
                <c:pt idx="35">
                  <c:v>2.15</c:v>
                </c:pt>
                <c:pt idx="36">
                  <c:v>2.2000000000000002</c:v>
                </c:pt>
                <c:pt idx="37">
                  <c:v>2.16</c:v>
                </c:pt>
                <c:pt idx="38">
                  <c:v>2.21</c:v>
                </c:pt>
                <c:pt idx="39">
                  <c:v>2.14</c:v>
                </c:pt>
                <c:pt idx="40">
                  <c:v>2.13</c:v>
                </c:pt>
                <c:pt idx="41">
                  <c:v>2.11</c:v>
                </c:pt>
                <c:pt idx="42">
                  <c:v>2.16</c:v>
                </c:pt>
                <c:pt idx="43">
                  <c:v>2.16</c:v>
                </c:pt>
                <c:pt idx="44">
                  <c:v>2.14</c:v>
                </c:pt>
                <c:pt idx="45">
                  <c:v>2.15</c:v>
                </c:pt>
                <c:pt idx="46">
                  <c:v>2.14</c:v>
                </c:pt>
                <c:pt idx="47">
                  <c:v>2.12</c:v>
                </c:pt>
                <c:pt idx="48">
                  <c:v>2.1800000000000002</c:v>
                </c:pt>
                <c:pt idx="49">
                  <c:v>2.1800000000000002</c:v>
                </c:pt>
                <c:pt idx="50">
                  <c:v>2.19</c:v>
                </c:pt>
                <c:pt idx="51">
                  <c:v>2.2000000000000002</c:v>
                </c:pt>
                <c:pt idx="52">
                  <c:v>2.2000000000000002</c:v>
                </c:pt>
                <c:pt idx="53">
                  <c:v>2.06</c:v>
                </c:pt>
                <c:pt idx="56">
                  <c:v>2.15</c:v>
                </c:pt>
                <c:pt idx="57">
                  <c:v>2.1</c:v>
                </c:pt>
                <c:pt idx="58">
                  <c:v>2.04</c:v>
                </c:pt>
                <c:pt idx="59">
                  <c:v>2.0499999999999998</c:v>
                </c:pt>
                <c:pt idx="60">
                  <c:v>2.0499999999999998</c:v>
                </c:pt>
                <c:pt idx="61">
                  <c:v>2.0499999999999998</c:v>
                </c:pt>
                <c:pt idx="62">
                  <c:v>2.12</c:v>
                </c:pt>
                <c:pt idx="63">
                  <c:v>2.1</c:v>
                </c:pt>
                <c:pt idx="64">
                  <c:v>2.15</c:v>
                </c:pt>
                <c:pt idx="65">
                  <c:v>2.12</c:v>
                </c:pt>
                <c:pt idx="66">
                  <c:v>2.1</c:v>
                </c:pt>
                <c:pt idx="67">
                  <c:v>2.12</c:v>
                </c:pt>
                <c:pt idx="68">
                  <c:v>2.14</c:v>
                </c:pt>
                <c:pt idx="69">
                  <c:v>2.12</c:v>
                </c:pt>
                <c:pt idx="70">
                  <c:v>2.06</c:v>
                </c:pt>
                <c:pt idx="71">
                  <c:v>2.1</c:v>
                </c:pt>
                <c:pt idx="72">
                  <c:v>2.08</c:v>
                </c:pt>
                <c:pt idx="73">
                  <c:v>2.11</c:v>
                </c:pt>
                <c:pt idx="74">
                  <c:v>2.12</c:v>
                </c:pt>
                <c:pt idx="75">
                  <c:v>2.11</c:v>
                </c:pt>
                <c:pt idx="76">
                  <c:v>2.11</c:v>
                </c:pt>
                <c:pt idx="77">
                  <c:v>2.13</c:v>
                </c:pt>
                <c:pt idx="78">
                  <c:v>2.13</c:v>
                </c:pt>
                <c:pt idx="79">
                  <c:v>2.11</c:v>
                </c:pt>
                <c:pt idx="80">
                  <c:v>2.12</c:v>
                </c:pt>
                <c:pt idx="81">
                  <c:v>2.15</c:v>
                </c:pt>
                <c:pt idx="82">
                  <c:v>2.13</c:v>
                </c:pt>
                <c:pt idx="83">
                  <c:v>2.14</c:v>
                </c:pt>
              </c:numCache>
            </c:numRef>
          </c:yVal>
          <c:smooth val="0"/>
        </c:ser>
        <c:dLbls>
          <c:showLegendKey val="0"/>
          <c:showVal val="0"/>
          <c:showCatName val="0"/>
          <c:showSerName val="0"/>
          <c:showPercent val="0"/>
          <c:showBubbleSize val="0"/>
        </c:dLbls>
        <c:axId val="289727032"/>
        <c:axId val="289727424"/>
      </c:scatterChart>
      <c:valAx>
        <c:axId val="289727032"/>
        <c:scaling>
          <c:orientation val="minMax"/>
          <c:max val="250"/>
        </c:scaling>
        <c:delete val="0"/>
        <c:axPos val="b"/>
        <c:title>
          <c:tx>
            <c:rich>
              <a:bodyPr/>
              <a:lstStyle/>
              <a:p>
                <a:pPr>
                  <a:defRPr sz="800"/>
                </a:pPr>
                <a:r>
                  <a:rPr lang="en-US" sz="800"/>
                  <a:t>time [days]</a:t>
                </a:r>
              </a:p>
            </c:rich>
          </c:tx>
          <c:layout>
            <c:manualLayout>
              <c:xMode val="edge"/>
              <c:yMode val="edge"/>
              <c:x val="0.432195555799747"/>
              <c:y val="0.90276390276390295"/>
            </c:manualLayout>
          </c:layout>
          <c:overlay val="0"/>
        </c:title>
        <c:numFmt formatCode="General" sourceLinked="1"/>
        <c:majorTickMark val="in"/>
        <c:minorTickMark val="in"/>
        <c:tickLblPos val="nextTo"/>
        <c:txPr>
          <a:bodyPr/>
          <a:lstStyle/>
          <a:p>
            <a:pPr>
              <a:defRPr sz="600"/>
            </a:pPr>
            <a:endParaRPr lang="en-US"/>
          </a:p>
        </c:txPr>
        <c:crossAx val="289727424"/>
        <c:crosses val="autoZero"/>
        <c:crossBetween val="midCat"/>
      </c:valAx>
      <c:valAx>
        <c:axId val="289727424"/>
        <c:scaling>
          <c:orientation val="minMax"/>
        </c:scaling>
        <c:delete val="0"/>
        <c:axPos val="l"/>
        <c:title>
          <c:tx>
            <c:rich>
              <a:bodyPr rot="-5400000" vert="horz"/>
              <a:lstStyle/>
              <a:p>
                <a:pPr>
                  <a:defRPr sz="800"/>
                </a:pPr>
                <a:r>
                  <a:rPr lang="en-US" sz="800"/>
                  <a:t>pH</a:t>
                </a:r>
              </a:p>
            </c:rich>
          </c:tx>
          <c:layout>
            <c:manualLayout>
              <c:xMode val="edge"/>
              <c:yMode val="edge"/>
              <c:x val="1.30832969908417E-2"/>
              <c:y val="0.35571567540071503"/>
            </c:manualLayout>
          </c:layout>
          <c:overlay val="0"/>
        </c:title>
        <c:numFmt formatCode="General" sourceLinked="1"/>
        <c:majorTickMark val="in"/>
        <c:minorTickMark val="in"/>
        <c:tickLblPos val="nextTo"/>
        <c:txPr>
          <a:bodyPr/>
          <a:lstStyle/>
          <a:p>
            <a:pPr>
              <a:defRPr sz="600"/>
            </a:pPr>
            <a:endParaRPr lang="en-US"/>
          </a:p>
        </c:txPr>
        <c:crossAx val="289727032"/>
        <c:crosses val="autoZero"/>
        <c:crossBetween val="midCat"/>
      </c:valAx>
      <c:spPr>
        <a:ln>
          <a:solidFill>
            <a:sysClr val="windowText" lastClr="000000"/>
          </a:solidFill>
        </a:ln>
      </c:spPr>
    </c:plotArea>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a:lstStyle/>
          <a:p>
            <a:pPr>
              <a:defRPr sz="800"/>
            </a:pPr>
            <a:r>
              <a:rPr lang="en-US" sz="800"/>
              <a:t>(b) control</a:t>
            </a:r>
          </a:p>
        </c:rich>
      </c:tx>
      <c:layout>
        <c:manualLayout>
          <c:xMode val="edge"/>
          <c:yMode val="edge"/>
          <c:x val="0.41424451866558798"/>
          <c:y val="1.3836042891733E-2"/>
        </c:manualLayout>
      </c:layout>
      <c:overlay val="0"/>
    </c:title>
    <c:autoTitleDeleted val="0"/>
    <c:plotArea>
      <c:layout>
        <c:manualLayout>
          <c:layoutTarget val="inner"/>
          <c:xMode val="edge"/>
          <c:yMode val="edge"/>
          <c:x val="0.12949425011193999"/>
          <c:y val="0.13144264210789899"/>
          <c:w val="0.80772252381987797"/>
          <c:h val="0.713558824454533"/>
        </c:manualLayout>
      </c:layout>
      <c:scatterChart>
        <c:scatterStyle val="lineMarker"/>
        <c:varyColors val="0"/>
        <c:ser>
          <c:idx val="0"/>
          <c:order val="0"/>
          <c:tx>
            <c:v>control - WATER</c:v>
          </c:tx>
          <c:spPr>
            <a:ln w="47625">
              <a:noFill/>
            </a:ln>
          </c:spPr>
          <c:marker>
            <c:symbol val="diamond"/>
            <c:size val="5"/>
            <c:spPr>
              <a:ln>
                <a:solidFill>
                  <a:srgbClr val="1F497D"/>
                </a:solidFill>
              </a:ln>
            </c:spPr>
          </c:marker>
          <c:xVal>
            <c:numRef>
              <c:f>'water only - test holdup'!$D$20:$D$150</c:f>
              <c:numCache>
                <c:formatCode>0</c:formatCode>
                <c:ptCount val="114"/>
                <c:pt idx="0" formatCode="General">
                  <c:v>0</c:v>
                </c:pt>
                <c:pt idx="1">
                  <c:v>1.0381944444452531</c:v>
                </c:pt>
                <c:pt idx="2">
                  <c:v>2.0173611111094938</c:v>
                </c:pt>
                <c:pt idx="3">
                  <c:v>3.0173611111094938</c:v>
                </c:pt>
                <c:pt idx="4">
                  <c:v>4.0173611111094942</c:v>
                </c:pt>
                <c:pt idx="5">
                  <c:v>5.0590277777810124</c:v>
                </c:pt>
                <c:pt idx="6">
                  <c:v>7.0069444444452511</c:v>
                </c:pt>
                <c:pt idx="7">
                  <c:v>8.0277777777810115</c:v>
                </c:pt>
                <c:pt idx="8">
                  <c:v>9.0868055555547507</c:v>
                </c:pt>
                <c:pt idx="9">
                  <c:v>9.9965277777810098</c:v>
                </c:pt>
                <c:pt idx="10">
                  <c:v>11.003472222226261</c:v>
                </c:pt>
                <c:pt idx="11">
                  <c:v>12.003472222226261</c:v>
                </c:pt>
                <c:pt idx="12">
                  <c:v>14.097222222226261</c:v>
                </c:pt>
                <c:pt idx="13">
                  <c:v>14.96527777778101</c:v>
                </c:pt>
                <c:pt idx="14">
                  <c:v>16.034722222226261</c:v>
                </c:pt>
                <c:pt idx="15">
                  <c:v>16.954861111109501</c:v>
                </c:pt>
                <c:pt idx="16">
                  <c:v>17.954861111109501</c:v>
                </c:pt>
                <c:pt idx="17">
                  <c:v>20.3125</c:v>
                </c:pt>
                <c:pt idx="18">
                  <c:v>22.013888888890499</c:v>
                </c:pt>
                <c:pt idx="19">
                  <c:v>22.954861111109501</c:v>
                </c:pt>
                <c:pt idx="20">
                  <c:v>23.923611111109491</c:v>
                </c:pt>
                <c:pt idx="21">
                  <c:v>24.923611111109491</c:v>
                </c:pt>
                <c:pt idx="22">
                  <c:v>25.90277777778099</c:v>
                </c:pt>
                <c:pt idx="23">
                  <c:v>31.916666666664241</c:v>
                </c:pt>
                <c:pt idx="24">
                  <c:v>35.89930555555474</c:v>
                </c:pt>
                <c:pt idx="25">
                  <c:v>37.038194444445253</c:v>
                </c:pt>
                <c:pt idx="26">
                  <c:v>38.875</c:v>
                </c:pt>
                <c:pt idx="27">
                  <c:v>40.027777777780997</c:v>
                </c:pt>
                <c:pt idx="28">
                  <c:v>42.01041666666422</c:v>
                </c:pt>
                <c:pt idx="29">
                  <c:v>43.916666666664213</c:v>
                </c:pt>
                <c:pt idx="30">
                  <c:v>45.86250000000291</c:v>
                </c:pt>
                <c:pt idx="31">
                  <c:v>47.069444444445253</c:v>
                </c:pt>
                <c:pt idx="32">
                  <c:v>47.881944444445232</c:v>
                </c:pt>
                <c:pt idx="33">
                  <c:v>49.86805555555474</c:v>
                </c:pt>
                <c:pt idx="34">
                  <c:v>52.24305555555474</c:v>
                </c:pt>
                <c:pt idx="35">
                  <c:v>53.111111111109501</c:v>
                </c:pt>
                <c:pt idx="36">
                  <c:v>55.96875</c:v>
                </c:pt>
                <c:pt idx="37">
                  <c:v>58.069444444445253</c:v>
                </c:pt>
                <c:pt idx="38">
                  <c:v>58.944444444445232</c:v>
                </c:pt>
                <c:pt idx="39">
                  <c:v>60.861111111109501</c:v>
                </c:pt>
                <c:pt idx="40">
                  <c:v>63.045138888890499</c:v>
                </c:pt>
                <c:pt idx="41">
                  <c:v>64.871527777780983</c:v>
                </c:pt>
                <c:pt idx="42">
                  <c:v>66.86111111110948</c:v>
                </c:pt>
                <c:pt idx="43">
                  <c:v>68.95486111110948</c:v>
                </c:pt>
                <c:pt idx="44">
                  <c:v>71.04861111110948</c:v>
                </c:pt>
                <c:pt idx="45">
                  <c:v>74.86111111110948</c:v>
                </c:pt>
                <c:pt idx="46">
                  <c:v>77.03472222222625</c:v>
                </c:pt>
                <c:pt idx="47">
                  <c:v>78.871527777780983</c:v>
                </c:pt>
                <c:pt idx="48">
                  <c:v>80.871527777780983</c:v>
                </c:pt>
                <c:pt idx="49">
                  <c:v>84.874999999999986</c:v>
                </c:pt>
                <c:pt idx="50">
                  <c:v>87.100694444445267</c:v>
                </c:pt>
                <c:pt idx="51">
                  <c:v>88.868055555554704</c:v>
                </c:pt>
                <c:pt idx="52">
                  <c:v>90.996527777781012</c:v>
                </c:pt>
                <c:pt idx="53">
                  <c:v>92.86111111110948</c:v>
                </c:pt>
                <c:pt idx="54">
                  <c:v>94.86111111110948</c:v>
                </c:pt>
                <c:pt idx="55">
                  <c:v>96.934027777781012</c:v>
                </c:pt>
                <c:pt idx="56">
                  <c:v>98.888888888890463</c:v>
                </c:pt>
                <c:pt idx="57">
                  <c:v>100.9479166666642</c:v>
                </c:pt>
                <c:pt idx="58">
                  <c:v>102.86111111110949</c:v>
                </c:pt>
                <c:pt idx="59">
                  <c:v>104.9618055555547</c:v>
                </c:pt>
                <c:pt idx="60">
                  <c:v>107.0416666666642</c:v>
                </c:pt>
                <c:pt idx="61">
                  <c:v>108.8645833333358</c:v>
                </c:pt>
                <c:pt idx="62">
                  <c:v>110.996527777781</c:v>
                </c:pt>
                <c:pt idx="63">
                  <c:v>112.86111111110949</c:v>
                </c:pt>
                <c:pt idx="64">
                  <c:v>114.86111111110949</c:v>
                </c:pt>
                <c:pt idx="65">
                  <c:v>118.98611111110949</c:v>
                </c:pt>
                <c:pt idx="66">
                  <c:v>120.86111111110949</c:v>
                </c:pt>
                <c:pt idx="67">
                  <c:v>122.86111111110949</c:v>
                </c:pt>
                <c:pt idx="68">
                  <c:v>126.8645833333358</c:v>
                </c:pt>
                <c:pt idx="69">
                  <c:v>128.85763888889051</c:v>
                </c:pt>
                <c:pt idx="70">
                  <c:v>133.02777777778101</c:v>
                </c:pt>
                <c:pt idx="71">
                  <c:v>135.11805555555469</c:v>
                </c:pt>
                <c:pt idx="72">
                  <c:v>136.86458333333579</c:v>
                </c:pt>
                <c:pt idx="73">
                  <c:v>140.88194444444531</c:v>
                </c:pt>
                <c:pt idx="74">
                  <c:v>142.86458333333579</c:v>
                </c:pt>
                <c:pt idx="75">
                  <c:v>153.00347222222629</c:v>
                </c:pt>
                <c:pt idx="76">
                  <c:v>157.85416666666421</c:v>
                </c:pt>
                <c:pt idx="77">
                  <c:v>160.01736111110949</c:v>
                </c:pt>
                <c:pt idx="78">
                  <c:v>161.85763888889051</c:v>
                </c:pt>
                <c:pt idx="79">
                  <c:v>168.02430555555469</c:v>
                </c:pt>
                <c:pt idx="80">
                  <c:v>169.86111111110949</c:v>
                </c:pt>
                <c:pt idx="81">
                  <c:v>173.98263888889051</c:v>
                </c:pt>
                <c:pt idx="82">
                  <c:v>175.85763888889051</c:v>
                </c:pt>
                <c:pt idx="83">
                  <c:v>177.97222222222629</c:v>
                </c:pt>
                <c:pt idx="84">
                  <c:v>179.86111111110949</c:v>
                </c:pt>
                <c:pt idx="85">
                  <c:v>181.97569444444531</c:v>
                </c:pt>
                <c:pt idx="86">
                  <c:v>183.86111111110949</c:v>
                </c:pt>
                <c:pt idx="87">
                  <c:v>185.86111111110949</c:v>
                </c:pt>
                <c:pt idx="88">
                  <c:v>187.99652777778101</c:v>
                </c:pt>
                <c:pt idx="89">
                  <c:v>189.85416666666421</c:v>
                </c:pt>
                <c:pt idx="90">
                  <c:v>196.86111111110949</c:v>
                </c:pt>
                <c:pt idx="91">
                  <c:v>198.85416666666421</c:v>
                </c:pt>
                <c:pt idx="92">
                  <c:v>200.84722222222629</c:v>
                </c:pt>
                <c:pt idx="93">
                  <c:v>203.84722222222629</c:v>
                </c:pt>
                <c:pt idx="94">
                  <c:v>205.85416666666421</c:v>
                </c:pt>
                <c:pt idx="95">
                  <c:v>207.85763888889051</c:v>
                </c:pt>
                <c:pt idx="96">
                  <c:v>210.85069444444531</c:v>
                </c:pt>
                <c:pt idx="97">
                  <c:v>212.85763888889051</c:v>
                </c:pt>
                <c:pt idx="98">
                  <c:v>214.85416666666421</c:v>
                </c:pt>
                <c:pt idx="99">
                  <c:v>217.86111111110949</c:v>
                </c:pt>
                <c:pt idx="100">
                  <c:v>221.11111111110949</c:v>
                </c:pt>
                <c:pt idx="101">
                  <c:v>224.00694444444531</c:v>
                </c:pt>
                <c:pt idx="102">
                  <c:v>225.85416666666421</c:v>
                </c:pt>
                <c:pt idx="103">
                  <c:v>227.86111111110949</c:v>
                </c:pt>
                <c:pt idx="104">
                  <c:v>230.20486111110949</c:v>
                </c:pt>
                <c:pt idx="105">
                  <c:v>231.86111111110949</c:v>
                </c:pt>
                <c:pt idx="106">
                  <c:v>233.84722222222629</c:v>
                </c:pt>
                <c:pt idx="107">
                  <c:v>235.85416666666421</c:v>
                </c:pt>
                <c:pt idx="108">
                  <c:v>238.85069444444531</c:v>
                </c:pt>
                <c:pt idx="109">
                  <c:v>241.85416666666421</c:v>
                </c:pt>
                <c:pt idx="110">
                  <c:v>243.97222222222629</c:v>
                </c:pt>
                <c:pt idx="111">
                  <c:v>245.85069444444531</c:v>
                </c:pt>
                <c:pt idx="112">
                  <c:v>247.85416666666421</c:v>
                </c:pt>
                <c:pt idx="113">
                  <c:v>249.85763888889051</c:v>
                </c:pt>
              </c:numCache>
            </c:numRef>
          </c:xVal>
          <c:yVal>
            <c:numRef>
              <c:f>'water only - test holdup'!$L$20:$L$150</c:f>
              <c:numCache>
                <c:formatCode>General</c:formatCode>
                <c:ptCount val="114"/>
                <c:pt idx="4">
                  <c:v>453</c:v>
                </c:pt>
                <c:pt idx="5">
                  <c:v>172</c:v>
                </c:pt>
                <c:pt idx="6">
                  <c:v>262</c:v>
                </c:pt>
                <c:pt idx="7">
                  <c:v>411</c:v>
                </c:pt>
                <c:pt idx="8">
                  <c:v>401</c:v>
                </c:pt>
                <c:pt idx="10">
                  <c:v>350</c:v>
                </c:pt>
                <c:pt idx="11">
                  <c:v>360</c:v>
                </c:pt>
                <c:pt idx="12">
                  <c:v>357</c:v>
                </c:pt>
                <c:pt idx="13">
                  <c:v>353</c:v>
                </c:pt>
                <c:pt idx="14">
                  <c:v>331</c:v>
                </c:pt>
                <c:pt idx="15">
                  <c:v>333</c:v>
                </c:pt>
                <c:pt idx="16">
                  <c:v>329</c:v>
                </c:pt>
                <c:pt idx="17">
                  <c:v>312</c:v>
                </c:pt>
                <c:pt idx="18">
                  <c:v>285</c:v>
                </c:pt>
                <c:pt idx="19">
                  <c:v>360</c:v>
                </c:pt>
                <c:pt idx="20">
                  <c:v>378</c:v>
                </c:pt>
                <c:pt idx="21">
                  <c:v>372</c:v>
                </c:pt>
                <c:pt idx="22">
                  <c:v>374</c:v>
                </c:pt>
                <c:pt idx="23">
                  <c:v>431</c:v>
                </c:pt>
                <c:pt idx="24">
                  <c:v>366</c:v>
                </c:pt>
                <c:pt idx="25">
                  <c:v>375</c:v>
                </c:pt>
                <c:pt idx="26">
                  <c:v>490</c:v>
                </c:pt>
                <c:pt idx="27">
                  <c:v>415</c:v>
                </c:pt>
                <c:pt idx="28">
                  <c:v>285</c:v>
                </c:pt>
                <c:pt idx="29">
                  <c:v>355</c:v>
                </c:pt>
                <c:pt idx="30">
                  <c:v>395</c:v>
                </c:pt>
                <c:pt idx="31">
                  <c:v>425</c:v>
                </c:pt>
                <c:pt idx="32">
                  <c:v>448</c:v>
                </c:pt>
                <c:pt idx="33">
                  <c:v>426</c:v>
                </c:pt>
                <c:pt idx="34">
                  <c:v>476</c:v>
                </c:pt>
                <c:pt idx="35">
                  <c:v>392</c:v>
                </c:pt>
                <c:pt idx="36">
                  <c:v>438</c:v>
                </c:pt>
                <c:pt idx="37">
                  <c:v>460</c:v>
                </c:pt>
                <c:pt idx="38">
                  <c:v>470</c:v>
                </c:pt>
                <c:pt idx="39">
                  <c:v>511</c:v>
                </c:pt>
                <c:pt idx="41">
                  <c:v>491</c:v>
                </c:pt>
                <c:pt idx="42">
                  <c:v>467</c:v>
                </c:pt>
                <c:pt idx="43">
                  <c:v>469</c:v>
                </c:pt>
                <c:pt idx="44">
                  <c:v>429</c:v>
                </c:pt>
                <c:pt idx="45">
                  <c:v>499</c:v>
                </c:pt>
                <c:pt idx="46">
                  <c:v>505</c:v>
                </c:pt>
                <c:pt idx="47">
                  <c:v>512</c:v>
                </c:pt>
                <c:pt idx="48">
                  <c:v>548</c:v>
                </c:pt>
                <c:pt idx="49">
                  <c:v>556</c:v>
                </c:pt>
                <c:pt idx="50">
                  <c:v>514</c:v>
                </c:pt>
                <c:pt idx="51">
                  <c:v>498</c:v>
                </c:pt>
                <c:pt idx="52">
                  <c:v>502</c:v>
                </c:pt>
                <c:pt idx="53">
                  <c:v>497</c:v>
                </c:pt>
                <c:pt idx="54">
                  <c:v>499</c:v>
                </c:pt>
                <c:pt idx="55">
                  <c:v>498</c:v>
                </c:pt>
                <c:pt idx="56">
                  <c:v>482</c:v>
                </c:pt>
                <c:pt idx="57">
                  <c:v>491</c:v>
                </c:pt>
                <c:pt idx="58">
                  <c:v>483</c:v>
                </c:pt>
                <c:pt idx="59">
                  <c:v>498</c:v>
                </c:pt>
                <c:pt idx="60">
                  <c:v>518</c:v>
                </c:pt>
                <c:pt idx="61">
                  <c:v>518</c:v>
                </c:pt>
                <c:pt idx="62">
                  <c:v>501</c:v>
                </c:pt>
                <c:pt idx="63">
                  <c:v>533</c:v>
                </c:pt>
                <c:pt idx="64">
                  <c:v>528</c:v>
                </c:pt>
                <c:pt idx="65">
                  <c:v>529</c:v>
                </c:pt>
                <c:pt idx="66">
                  <c:v>515</c:v>
                </c:pt>
                <c:pt idx="67">
                  <c:v>527</c:v>
                </c:pt>
                <c:pt idx="68">
                  <c:v>503</c:v>
                </c:pt>
                <c:pt idx="69">
                  <c:v>498</c:v>
                </c:pt>
                <c:pt idx="70">
                  <c:v>468</c:v>
                </c:pt>
                <c:pt idx="71">
                  <c:v>515</c:v>
                </c:pt>
                <c:pt idx="72">
                  <c:v>492</c:v>
                </c:pt>
                <c:pt idx="73">
                  <c:v>470</c:v>
                </c:pt>
                <c:pt idx="74">
                  <c:v>507</c:v>
                </c:pt>
                <c:pt idx="75">
                  <c:v>473</c:v>
                </c:pt>
                <c:pt idx="76">
                  <c:v>494</c:v>
                </c:pt>
                <c:pt idx="77">
                  <c:v>490</c:v>
                </c:pt>
                <c:pt idx="78">
                  <c:v>486</c:v>
                </c:pt>
                <c:pt idx="79">
                  <c:v>486</c:v>
                </c:pt>
                <c:pt idx="80">
                  <c:v>489</c:v>
                </c:pt>
                <c:pt idx="81">
                  <c:v>506</c:v>
                </c:pt>
                <c:pt idx="82">
                  <c:v>499</c:v>
                </c:pt>
                <c:pt idx="85">
                  <c:v>499</c:v>
                </c:pt>
                <c:pt idx="86">
                  <c:v>504</c:v>
                </c:pt>
                <c:pt idx="87">
                  <c:v>513</c:v>
                </c:pt>
                <c:pt idx="88">
                  <c:v>515</c:v>
                </c:pt>
                <c:pt idx="89">
                  <c:v>529</c:v>
                </c:pt>
                <c:pt idx="90">
                  <c:v>448</c:v>
                </c:pt>
                <c:pt idx="91">
                  <c:v>471</c:v>
                </c:pt>
                <c:pt idx="92">
                  <c:v>475</c:v>
                </c:pt>
                <c:pt idx="93">
                  <c:v>502</c:v>
                </c:pt>
                <c:pt idx="94">
                  <c:v>498</c:v>
                </c:pt>
                <c:pt idx="95">
                  <c:v>504</c:v>
                </c:pt>
                <c:pt idx="96">
                  <c:v>482</c:v>
                </c:pt>
                <c:pt idx="97">
                  <c:v>471</c:v>
                </c:pt>
                <c:pt idx="98">
                  <c:v>528</c:v>
                </c:pt>
                <c:pt idx="99">
                  <c:v>503</c:v>
                </c:pt>
                <c:pt idx="100">
                  <c:v>522</c:v>
                </c:pt>
                <c:pt idx="101">
                  <c:v>445</c:v>
                </c:pt>
                <c:pt idx="102">
                  <c:v>388</c:v>
                </c:pt>
                <c:pt idx="103">
                  <c:v>467</c:v>
                </c:pt>
                <c:pt idx="104">
                  <c:v>472</c:v>
                </c:pt>
                <c:pt idx="105">
                  <c:v>481</c:v>
                </c:pt>
                <c:pt idx="106">
                  <c:v>492</c:v>
                </c:pt>
                <c:pt idx="107">
                  <c:v>507</c:v>
                </c:pt>
                <c:pt idx="108">
                  <c:v>533</c:v>
                </c:pt>
                <c:pt idx="109">
                  <c:v>564</c:v>
                </c:pt>
                <c:pt idx="110">
                  <c:v>594</c:v>
                </c:pt>
                <c:pt idx="111">
                  <c:v>597</c:v>
                </c:pt>
                <c:pt idx="112">
                  <c:v>577</c:v>
                </c:pt>
                <c:pt idx="113">
                  <c:v>515</c:v>
                </c:pt>
              </c:numCache>
            </c:numRef>
          </c:yVal>
          <c:smooth val="0"/>
        </c:ser>
        <c:ser>
          <c:idx val="2"/>
          <c:order val="1"/>
          <c:tx>
            <c:v>control - ABIOTIC</c:v>
          </c:tx>
          <c:spPr>
            <a:ln w="47625">
              <a:noFill/>
            </a:ln>
          </c:spPr>
          <c:marker>
            <c:symbol val="square"/>
            <c:size val="5"/>
            <c:spPr>
              <a:solidFill>
                <a:schemeClr val="accent5">
                  <a:lumMod val="75000"/>
                </a:schemeClr>
              </a:solidFill>
              <a:ln>
                <a:solidFill>
                  <a:schemeClr val="accent5">
                    <a:lumMod val="50000"/>
                  </a:schemeClr>
                </a:solidFill>
              </a:ln>
            </c:spPr>
          </c:marker>
          <c:xVal>
            <c:numRef>
              <c:f>'acid-water only - test'!$D$24:$D$116</c:f>
              <c:numCache>
                <c:formatCode>0</c:formatCode>
                <c:ptCount val="81"/>
                <c:pt idx="0" formatCode="General">
                  <c:v>0</c:v>
                </c:pt>
                <c:pt idx="1">
                  <c:v>1.138888888890506</c:v>
                </c:pt>
                <c:pt idx="2">
                  <c:v>2.163194444445252</c:v>
                </c:pt>
                <c:pt idx="3">
                  <c:v>3.03125</c:v>
                </c:pt>
                <c:pt idx="4">
                  <c:v>4.1736111111167702</c:v>
                </c:pt>
                <c:pt idx="5">
                  <c:v>5.8888888888905058</c:v>
                </c:pt>
                <c:pt idx="6">
                  <c:v>7.9895833333357587</c:v>
                </c:pt>
                <c:pt idx="7">
                  <c:v>8.8645833333357604</c:v>
                </c:pt>
                <c:pt idx="8">
                  <c:v>10.78125</c:v>
                </c:pt>
                <c:pt idx="9">
                  <c:v>12.96527777778101</c:v>
                </c:pt>
                <c:pt idx="10">
                  <c:v>14.791666666671521</c:v>
                </c:pt>
                <c:pt idx="11">
                  <c:v>16.78125</c:v>
                </c:pt>
                <c:pt idx="12">
                  <c:v>18.875</c:v>
                </c:pt>
                <c:pt idx="13">
                  <c:v>20.96875</c:v>
                </c:pt>
                <c:pt idx="14">
                  <c:v>22.868055555554751</c:v>
                </c:pt>
                <c:pt idx="15">
                  <c:v>24.78125</c:v>
                </c:pt>
                <c:pt idx="16">
                  <c:v>26.95486111111677</c:v>
                </c:pt>
                <c:pt idx="17">
                  <c:v>28.791666666671521</c:v>
                </c:pt>
                <c:pt idx="18">
                  <c:v>30.791666666671521</c:v>
                </c:pt>
                <c:pt idx="19">
                  <c:v>37.020833333335752</c:v>
                </c:pt>
                <c:pt idx="20">
                  <c:v>38.788194444445253</c:v>
                </c:pt>
                <c:pt idx="21">
                  <c:v>40.916666666671503</c:v>
                </c:pt>
                <c:pt idx="22">
                  <c:v>42.78125</c:v>
                </c:pt>
                <c:pt idx="23">
                  <c:v>44.78125</c:v>
                </c:pt>
                <c:pt idx="24">
                  <c:v>46.854166666671503</c:v>
                </c:pt>
                <c:pt idx="25">
                  <c:v>52.78125</c:v>
                </c:pt>
                <c:pt idx="26">
                  <c:v>54.881944444445232</c:v>
                </c:pt>
                <c:pt idx="27">
                  <c:v>56.961805555554747</c:v>
                </c:pt>
                <c:pt idx="28">
                  <c:v>60.916666666671503</c:v>
                </c:pt>
                <c:pt idx="29">
                  <c:v>62.78125</c:v>
                </c:pt>
                <c:pt idx="30">
                  <c:v>64.78125</c:v>
                </c:pt>
                <c:pt idx="31">
                  <c:v>68.90625</c:v>
                </c:pt>
                <c:pt idx="32">
                  <c:v>70.78125</c:v>
                </c:pt>
                <c:pt idx="33">
                  <c:v>72.78125</c:v>
                </c:pt>
                <c:pt idx="34">
                  <c:v>76.78472222222625</c:v>
                </c:pt>
                <c:pt idx="35">
                  <c:v>78.777777777780955</c:v>
                </c:pt>
                <c:pt idx="36">
                  <c:v>82.947916666671503</c:v>
                </c:pt>
                <c:pt idx="37">
                  <c:v>85.038194444445267</c:v>
                </c:pt>
                <c:pt idx="38">
                  <c:v>86.78472222222625</c:v>
                </c:pt>
                <c:pt idx="39">
                  <c:v>90.80208333333573</c:v>
                </c:pt>
                <c:pt idx="40">
                  <c:v>92.78472222222625</c:v>
                </c:pt>
                <c:pt idx="41">
                  <c:v>100.79513888889051</c:v>
                </c:pt>
                <c:pt idx="42">
                  <c:v>102.9236111111168</c:v>
                </c:pt>
                <c:pt idx="43">
                  <c:v>107.7743055555547</c:v>
                </c:pt>
                <c:pt idx="44">
                  <c:v>109.9375</c:v>
                </c:pt>
                <c:pt idx="45">
                  <c:v>111.777777777781</c:v>
                </c:pt>
                <c:pt idx="46">
                  <c:v>117.9444444444453</c:v>
                </c:pt>
                <c:pt idx="47">
                  <c:v>119.78125</c:v>
                </c:pt>
                <c:pt idx="48">
                  <c:v>121.777777777781</c:v>
                </c:pt>
                <c:pt idx="49">
                  <c:v>123.902777777781</c:v>
                </c:pt>
                <c:pt idx="50">
                  <c:v>125.777777777781</c:v>
                </c:pt>
                <c:pt idx="51">
                  <c:v>127.8923611111168</c:v>
                </c:pt>
                <c:pt idx="52">
                  <c:v>129.78125</c:v>
                </c:pt>
                <c:pt idx="53">
                  <c:v>131.89583333333579</c:v>
                </c:pt>
                <c:pt idx="54">
                  <c:v>133.78125</c:v>
                </c:pt>
                <c:pt idx="55">
                  <c:v>135.78125</c:v>
                </c:pt>
                <c:pt idx="56">
                  <c:v>139.77430555555469</c:v>
                </c:pt>
                <c:pt idx="57">
                  <c:v>146.78125</c:v>
                </c:pt>
                <c:pt idx="58">
                  <c:v>148.77430555555469</c:v>
                </c:pt>
                <c:pt idx="59">
                  <c:v>150.7673611111168</c:v>
                </c:pt>
                <c:pt idx="60">
                  <c:v>153.7673611111168</c:v>
                </c:pt>
                <c:pt idx="61">
                  <c:v>155.77430555555469</c:v>
                </c:pt>
                <c:pt idx="62">
                  <c:v>157.77777777778101</c:v>
                </c:pt>
                <c:pt idx="63">
                  <c:v>160.77083333333579</c:v>
                </c:pt>
                <c:pt idx="64">
                  <c:v>162.77777777778101</c:v>
                </c:pt>
                <c:pt idx="65">
                  <c:v>164.77430555555469</c:v>
                </c:pt>
                <c:pt idx="66">
                  <c:v>167.48958333333579</c:v>
                </c:pt>
                <c:pt idx="67">
                  <c:v>171.03125</c:v>
                </c:pt>
                <c:pt idx="68">
                  <c:v>173.92708333333579</c:v>
                </c:pt>
                <c:pt idx="69">
                  <c:v>175.77430555555469</c:v>
                </c:pt>
                <c:pt idx="70">
                  <c:v>177.78125</c:v>
                </c:pt>
                <c:pt idx="71">
                  <c:v>180.125</c:v>
                </c:pt>
                <c:pt idx="72">
                  <c:v>181.78125</c:v>
                </c:pt>
                <c:pt idx="73">
                  <c:v>183.7673611111168</c:v>
                </c:pt>
                <c:pt idx="74">
                  <c:v>185.77430555555469</c:v>
                </c:pt>
                <c:pt idx="75">
                  <c:v>188.77083333333579</c:v>
                </c:pt>
                <c:pt idx="76">
                  <c:v>191.77430555555469</c:v>
                </c:pt>
                <c:pt idx="77">
                  <c:v>193.8923611111168</c:v>
                </c:pt>
                <c:pt idx="78">
                  <c:v>195.77083333333579</c:v>
                </c:pt>
                <c:pt idx="79">
                  <c:v>197.77430555555469</c:v>
                </c:pt>
                <c:pt idx="80">
                  <c:v>199.77777777778101</c:v>
                </c:pt>
              </c:numCache>
            </c:numRef>
          </c:xVal>
          <c:yVal>
            <c:numRef>
              <c:f>'acid-water only - test'!$L$24:$L$116</c:f>
              <c:numCache>
                <c:formatCode>General</c:formatCode>
                <c:ptCount val="81"/>
                <c:pt idx="1">
                  <c:v>397</c:v>
                </c:pt>
                <c:pt idx="2">
                  <c:v>402</c:v>
                </c:pt>
                <c:pt idx="3">
                  <c:v>416</c:v>
                </c:pt>
                <c:pt idx="4">
                  <c:v>432</c:v>
                </c:pt>
                <c:pt idx="5">
                  <c:v>466</c:v>
                </c:pt>
                <c:pt idx="6">
                  <c:v>561</c:v>
                </c:pt>
                <c:pt idx="7">
                  <c:v>595</c:v>
                </c:pt>
                <c:pt idx="8">
                  <c:v>618</c:v>
                </c:pt>
                <c:pt idx="10">
                  <c:v>623</c:v>
                </c:pt>
                <c:pt idx="11">
                  <c:v>626</c:v>
                </c:pt>
                <c:pt idx="12">
                  <c:v>626</c:v>
                </c:pt>
                <c:pt idx="13">
                  <c:v>631</c:v>
                </c:pt>
                <c:pt idx="14">
                  <c:v>633</c:v>
                </c:pt>
                <c:pt idx="15">
                  <c:v>634</c:v>
                </c:pt>
                <c:pt idx="16">
                  <c:v>630</c:v>
                </c:pt>
                <c:pt idx="17">
                  <c:v>634</c:v>
                </c:pt>
                <c:pt idx="18">
                  <c:v>633</c:v>
                </c:pt>
                <c:pt idx="19">
                  <c:v>643</c:v>
                </c:pt>
                <c:pt idx="20">
                  <c:v>650</c:v>
                </c:pt>
                <c:pt idx="21">
                  <c:v>641</c:v>
                </c:pt>
                <c:pt idx="22">
                  <c:v>651</c:v>
                </c:pt>
                <c:pt idx="23">
                  <c:v>648</c:v>
                </c:pt>
                <c:pt idx="24">
                  <c:v>655</c:v>
                </c:pt>
                <c:pt idx="25">
                  <c:v>654</c:v>
                </c:pt>
                <c:pt idx="26">
                  <c:v>659</c:v>
                </c:pt>
                <c:pt idx="27">
                  <c:v>644</c:v>
                </c:pt>
                <c:pt idx="28">
                  <c:v>648</c:v>
                </c:pt>
                <c:pt idx="29">
                  <c:v>649</c:v>
                </c:pt>
                <c:pt idx="30">
                  <c:v>651</c:v>
                </c:pt>
                <c:pt idx="31">
                  <c:v>649</c:v>
                </c:pt>
                <c:pt idx="32">
                  <c:v>655</c:v>
                </c:pt>
                <c:pt idx="33">
                  <c:v>645</c:v>
                </c:pt>
                <c:pt idx="34">
                  <c:v>622</c:v>
                </c:pt>
                <c:pt idx="35">
                  <c:v>645</c:v>
                </c:pt>
                <c:pt idx="36">
                  <c:v>658</c:v>
                </c:pt>
                <c:pt idx="37">
                  <c:v>673</c:v>
                </c:pt>
                <c:pt idx="38">
                  <c:v>663</c:v>
                </c:pt>
                <c:pt idx="39">
                  <c:v>650</c:v>
                </c:pt>
                <c:pt idx="40">
                  <c:v>676</c:v>
                </c:pt>
                <c:pt idx="41">
                  <c:v>661</c:v>
                </c:pt>
                <c:pt idx="42">
                  <c:v>659</c:v>
                </c:pt>
                <c:pt idx="43">
                  <c:v>666</c:v>
                </c:pt>
                <c:pt idx="44">
                  <c:v>666</c:v>
                </c:pt>
                <c:pt idx="45">
                  <c:v>668</c:v>
                </c:pt>
                <c:pt idx="46">
                  <c:v>662</c:v>
                </c:pt>
                <c:pt idx="47">
                  <c:v>665</c:v>
                </c:pt>
                <c:pt idx="48">
                  <c:v>665</c:v>
                </c:pt>
                <c:pt idx="49">
                  <c:v>665</c:v>
                </c:pt>
                <c:pt idx="50">
                  <c:v>669</c:v>
                </c:pt>
                <c:pt idx="53">
                  <c:v>670</c:v>
                </c:pt>
                <c:pt idx="54">
                  <c:v>670</c:v>
                </c:pt>
                <c:pt idx="55">
                  <c:v>672</c:v>
                </c:pt>
                <c:pt idx="56">
                  <c:v>672</c:v>
                </c:pt>
                <c:pt idx="57">
                  <c:v>653</c:v>
                </c:pt>
                <c:pt idx="58">
                  <c:v>649</c:v>
                </c:pt>
                <c:pt idx="59">
                  <c:v>652</c:v>
                </c:pt>
                <c:pt idx="60">
                  <c:v>658</c:v>
                </c:pt>
                <c:pt idx="61">
                  <c:v>652</c:v>
                </c:pt>
                <c:pt idx="62">
                  <c:v>660</c:v>
                </c:pt>
                <c:pt idx="63">
                  <c:v>660</c:v>
                </c:pt>
                <c:pt idx="64">
                  <c:v>660</c:v>
                </c:pt>
                <c:pt idx="65">
                  <c:v>662</c:v>
                </c:pt>
                <c:pt idx="66">
                  <c:v>670</c:v>
                </c:pt>
                <c:pt idx="67">
                  <c:v>670</c:v>
                </c:pt>
                <c:pt idx="68">
                  <c:v>625</c:v>
                </c:pt>
                <c:pt idx="69">
                  <c:v>656</c:v>
                </c:pt>
                <c:pt idx="70">
                  <c:v>659</c:v>
                </c:pt>
                <c:pt idx="71">
                  <c:v>660</c:v>
                </c:pt>
                <c:pt idx="72">
                  <c:v>662</c:v>
                </c:pt>
                <c:pt idx="73">
                  <c:v>660</c:v>
                </c:pt>
                <c:pt idx="74">
                  <c:v>658</c:v>
                </c:pt>
                <c:pt idx="75">
                  <c:v>656</c:v>
                </c:pt>
                <c:pt idx="76">
                  <c:v>657</c:v>
                </c:pt>
                <c:pt idx="77">
                  <c:v>664</c:v>
                </c:pt>
                <c:pt idx="78">
                  <c:v>663</c:v>
                </c:pt>
                <c:pt idx="79">
                  <c:v>655</c:v>
                </c:pt>
                <c:pt idx="80">
                  <c:v>653</c:v>
                </c:pt>
              </c:numCache>
            </c:numRef>
          </c:yVal>
          <c:smooth val="0"/>
        </c:ser>
        <c:ser>
          <c:idx val="3"/>
          <c:order val="2"/>
          <c:tx>
            <c:v>control - BIOTIC</c:v>
          </c:tx>
          <c:spPr>
            <a:ln w="47625">
              <a:noFill/>
            </a:ln>
          </c:spPr>
          <c:marker>
            <c:symbol val="circle"/>
            <c:size val="5"/>
            <c:spPr>
              <a:solidFill>
                <a:schemeClr val="accent6">
                  <a:lumMod val="60000"/>
                  <a:lumOff val="40000"/>
                </a:schemeClr>
              </a:solidFill>
              <a:ln>
                <a:solidFill>
                  <a:schemeClr val="accent6"/>
                </a:solidFill>
              </a:ln>
            </c:spPr>
          </c:marker>
          <c:xVal>
            <c:numRef>
              <c:f>'acid-water-inoc - test'!$D$25:$D$117</c:f>
              <c:numCache>
                <c:formatCode>0</c:formatCode>
                <c:ptCount val="84"/>
                <c:pt idx="0" formatCode="General">
                  <c:v>0</c:v>
                </c:pt>
                <c:pt idx="1">
                  <c:v>1.138888888890506</c:v>
                </c:pt>
                <c:pt idx="2">
                  <c:v>2.163194444445252</c:v>
                </c:pt>
                <c:pt idx="3">
                  <c:v>3.03125</c:v>
                </c:pt>
                <c:pt idx="4">
                  <c:v>4.1736111111167702</c:v>
                </c:pt>
                <c:pt idx="5">
                  <c:v>5.8888888888905058</c:v>
                </c:pt>
                <c:pt idx="6">
                  <c:v>7.9895833333357587</c:v>
                </c:pt>
                <c:pt idx="7">
                  <c:v>8.8645833333357604</c:v>
                </c:pt>
                <c:pt idx="8">
                  <c:v>10.78125</c:v>
                </c:pt>
                <c:pt idx="9">
                  <c:v>12.96527777778101</c:v>
                </c:pt>
                <c:pt idx="10">
                  <c:v>14.791666666671521</c:v>
                </c:pt>
                <c:pt idx="11">
                  <c:v>16.78125</c:v>
                </c:pt>
                <c:pt idx="12">
                  <c:v>18.875</c:v>
                </c:pt>
                <c:pt idx="13">
                  <c:v>20.96875</c:v>
                </c:pt>
                <c:pt idx="14">
                  <c:v>22.868055555554751</c:v>
                </c:pt>
                <c:pt idx="15">
                  <c:v>24.78125</c:v>
                </c:pt>
                <c:pt idx="16">
                  <c:v>26.95486111111677</c:v>
                </c:pt>
                <c:pt idx="17">
                  <c:v>28.791666666671521</c:v>
                </c:pt>
                <c:pt idx="18">
                  <c:v>30.791666666671521</c:v>
                </c:pt>
                <c:pt idx="19">
                  <c:v>32.90625</c:v>
                </c:pt>
                <c:pt idx="20">
                  <c:v>34.795138888890499</c:v>
                </c:pt>
                <c:pt idx="21">
                  <c:v>37.020833333335752</c:v>
                </c:pt>
                <c:pt idx="22">
                  <c:v>38.788194444445253</c:v>
                </c:pt>
                <c:pt idx="23">
                  <c:v>40.916666666671503</c:v>
                </c:pt>
                <c:pt idx="24">
                  <c:v>42.78125</c:v>
                </c:pt>
                <c:pt idx="25">
                  <c:v>44.78125</c:v>
                </c:pt>
                <c:pt idx="26">
                  <c:v>46.854166666671503</c:v>
                </c:pt>
                <c:pt idx="27">
                  <c:v>48.80902777778099</c:v>
                </c:pt>
                <c:pt idx="28">
                  <c:v>50.86805555555474</c:v>
                </c:pt>
                <c:pt idx="29">
                  <c:v>54.881944444445232</c:v>
                </c:pt>
                <c:pt idx="30">
                  <c:v>56.961805555554747</c:v>
                </c:pt>
                <c:pt idx="31">
                  <c:v>58.784722222226257</c:v>
                </c:pt>
                <c:pt idx="32">
                  <c:v>60.916666666671503</c:v>
                </c:pt>
                <c:pt idx="33">
                  <c:v>62.78125</c:v>
                </c:pt>
                <c:pt idx="34">
                  <c:v>64.78125</c:v>
                </c:pt>
                <c:pt idx="35">
                  <c:v>68.90625</c:v>
                </c:pt>
                <c:pt idx="36">
                  <c:v>70.78125</c:v>
                </c:pt>
                <c:pt idx="37">
                  <c:v>72.78125</c:v>
                </c:pt>
                <c:pt idx="38">
                  <c:v>76.78472222222625</c:v>
                </c:pt>
                <c:pt idx="39">
                  <c:v>78.777777777780955</c:v>
                </c:pt>
                <c:pt idx="40">
                  <c:v>82.947916666671503</c:v>
                </c:pt>
                <c:pt idx="41">
                  <c:v>85.038194444445267</c:v>
                </c:pt>
                <c:pt idx="42">
                  <c:v>86.78472222222625</c:v>
                </c:pt>
                <c:pt idx="43">
                  <c:v>90.80208333333573</c:v>
                </c:pt>
                <c:pt idx="44">
                  <c:v>92.78472222222625</c:v>
                </c:pt>
                <c:pt idx="45">
                  <c:v>100.79513888889051</c:v>
                </c:pt>
                <c:pt idx="46">
                  <c:v>102.9236111111168</c:v>
                </c:pt>
                <c:pt idx="47">
                  <c:v>105.7881944444453</c:v>
                </c:pt>
                <c:pt idx="48">
                  <c:v>107.7743055555547</c:v>
                </c:pt>
                <c:pt idx="49">
                  <c:v>109.9375</c:v>
                </c:pt>
                <c:pt idx="50">
                  <c:v>119.78125</c:v>
                </c:pt>
                <c:pt idx="51">
                  <c:v>121.777777777781</c:v>
                </c:pt>
                <c:pt idx="52">
                  <c:v>123.902777777781</c:v>
                </c:pt>
                <c:pt idx="53">
                  <c:v>125.777777777781</c:v>
                </c:pt>
                <c:pt idx="54">
                  <c:v>127.8923611111168</c:v>
                </c:pt>
                <c:pt idx="55">
                  <c:v>129.78125</c:v>
                </c:pt>
                <c:pt idx="56">
                  <c:v>131.89583333333579</c:v>
                </c:pt>
                <c:pt idx="57">
                  <c:v>133.48958333333579</c:v>
                </c:pt>
                <c:pt idx="58">
                  <c:v>135.78125</c:v>
                </c:pt>
                <c:pt idx="59">
                  <c:v>137.91666666667149</c:v>
                </c:pt>
                <c:pt idx="60">
                  <c:v>139.77430555555469</c:v>
                </c:pt>
                <c:pt idx="61">
                  <c:v>146.78125</c:v>
                </c:pt>
                <c:pt idx="62">
                  <c:v>148.77430555555469</c:v>
                </c:pt>
                <c:pt idx="63">
                  <c:v>150.7673611111168</c:v>
                </c:pt>
                <c:pt idx="64">
                  <c:v>153.7673611111168</c:v>
                </c:pt>
                <c:pt idx="65">
                  <c:v>155.77430555555469</c:v>
                </c:pt>
                <c:pt idx="66">
                  <c:v>157.77777777778101</c:v>
                </c:pt>
                <c:pt idx="67">
                  <c:v>160.77083333333579</c:v>
                </c:pt>
                <c:pt idx="68">
                  <c:v>162.77777777778101</c:v>
                </c:pt>
                <c:pt idx="69">
                  <c:v>164.77430555555469</c:v>
                </c:pt>
                <c:pt idx="70">
                  <c:v>167.78125</c:v>
                </c:pt>
                <c:pt idx="71">
                  <c:v>171.03125</c:v>
                </c:pt>
                <c:pt idx="72">
                  <c:v>173.92708333333579</c:v>
                </c:pt>
                <c:pt idx="73">
                  <c:v>175.77430555555469</c:v>
                </c:pt>
                <c:pt idx="74">
                  <c:v>177.78125</c:v>
                </c:pt>
                <c:pt idx="75">
                  <c:v>180.125</c:v>
                </c:pt>
                <c:pt idx="76">
                  <c:v>181.78125</c:v>
                </c:pt>
                <c:pt idx="77">
                  <c:v>183.7673611111168</c:v>
                </c:pt>
                <c:pt idx="78">
                  <c:v>185.77430555555469</c:v>
                </c:pt>
                <c:pt idx="79">
                  <c:v>188.77083333333579</c:v>
                </c:pt>
                <c:pt idx="80">
                  <c:v>193.8923611111168</c:v>
                </c:pt>
                <c:pt idx="81">
                  <c:v>195.77083333333579</c:v>
                </c:pt>
                <c:pt idx="82">
                  <c:v>197.77430555555469</c:v>
                </c:pt>
                <c:pt idx="83">
                  <c:v>199.77777777778101</c:v>
                </c:pt>
              </c:numCache>
            </c:numRef>
          </c:xVal>
          <c:yVal>
            <c:numRef>
              <c:f>'acid-water-inoc - test'!$L$25:$L$117</c:f>
              <c:numCache>
                <c:formatCode>General</c:formatCode>
                <c:ptCount val="84"/>
                <c:pt idx="1">
                  <c:v>405</c:v>
                </c:pt>
                <c:pt idx="2">
                  <c:v>411</c:v>
                </c:pt>
                <c:pt idx="3">
                  <c:v>427</c:v>
                </c:pt>
                <c:pt idx="4">
                  <c:v>442</c:v>
                </c:pt>
                <c:pt idx="5">
                  <c:v>476</c:v>
                </c:pt>
                <c:pt idx="6">
                  <c:v>566</c:v>
                </c:pt>
                <c:pt idx="7">
                  <c:v>586</c:v>
                </c:pt>
                <c:pt idx="8">
                  <c:v>619</c:v>
                </c:pt>
                <c:pt idx="10">
                  <c:v>643</c:v>
                </c:pt>
                <c:pt idx="11">
                  <c:v>638</c:v>
                </c:pt>
                <c:pt idx="12">
                  <c:v>643</c:v>
                </c:pt>
                <c:pt idx="13">
                  <c:v>635</c:v>
                </c:pt>
                <c:pt idx="14">
                  <c:v>630</c:v>
                </c:pt>
                <c:pt idx="15">
                  <c:v>625</c:v>
                </c:pt>
                <c:pt idx="16">
                  <c:v>619</c:v>
                </c:pt>
                <c:pt idx="17">
                  <c:v>625</c:v>
                </c:pt>
                <c:pt idx="18">
                  <c:v>634</c:v>
                </c:pt>
                <c:pt idx="19">
                  <c:v>631</c:v>
                </c:pt>
                <c:pt idx="20">
                  <c:v>619</c:v>
                </c:pt>
                <c:pt idx="21">
                  <c:v>623</c:v>
                </c:pt>
                <c:pt idx="22">
                  <c:v>648</c:v>
                </c:pt>
                <c:pt idx="23">
                  <c:v>633</c:v>
                </c:pt>
                <c:pt idx="24">
                  <c:v>628</c:v>
                </c:pt>
                <c:pt idx="25">
                  <c:v>629</c:v>
                </c:pt>
                <c:pt idx="26">
                  <c:v>624</c:v>
                </c:pt>
                <c:pt idx="27">
                  <c:v>634</c:v>
                </c:pt>
                <c:pt idx="28">
                  <c:v>637</c:v>
                </c:pt>
                <c:pt idx="29">
                  <c:v>649</c:v>
                </c:pt>
                <c:pt idx="30">
                  <c:v>633</c:v>
                </c:pt>
                <c:pt idx="31">
                  <c:v>632</c:v>
                </c:pt>
                <c:pt idx="32">
                  <c:v>639</c:v>
                </c:pt>
                <c:pt idx="33">
                  <c:v>636</c:v>
                </c:pt>
                <c:pt idx="34">
                  <c:v>633</c:v>
                </c:pt>
                <c:pt idx="35">
                  <c:v>612</c:v>
                </c:pt>
                <c:pt idx="36">
                  <c:v>639</c:v>
                </c:pt>
                <c:pt idx="37">
                  <c:v>619</c:v>
                </c:pt>
                <c:pt idx="38">
                  <c:v>613</c:v>
                </c:pt>
                <c:pt idx="39">
                  <c:v>645</c:v>
                </c:pt>
                <c:pt idx="40">
                  <c:v>628</c:v>
                </c:pt>
                <c:pt idx="41">
                  <c:v>649</c:v>
                </c:pt>
                <c:pt idx="42">
                  <c:v>650</c:v>
                </c:pt>
                <c:pt idx="43">
                  <c:v>644</c:v>
                </c:pt>
                <c:pt idx="44">
                  <c:v>660</c:v>
                </c:pt>
                <c:pt idx="45">
                  <c:v>644</c:v>
                </c:pt>
                <c:pt idx="46">
                  <c:v>625</c:v>
                </c:pt>
                <c:pt idx="47">
                  <c:v>639</c:v>
                </c:pt>
                <c:pt idx="48">
                  <c:v>654</c:v>
                </c:pt>
                <c:pt idx="49">
                  <c:v>655</c:v>
                </c:pt>
                <c:pt idx="50">
                  <c:v>647</c:v>
                </c:pt>
                <c:pt idx="51">
                  <c:v>648</c:v>
                </c:pt>
                <c:pt idx="52">
                  <c:v>648</c:v>
                </c:pt>
                <c:pt idx="53">
                  <c:v>648</c:v>
                </c:pt>
                <c:pt idx="56">
                  <c:v>649</c:v>
                </c:pt>
                <c:pt idx="57">
                  <c:v>650</c:v>
                </c:pt>
                <c:pt idx="58">
                  <c:v>655</c:v>
                </c:pt>
                <c:pt idx="59">
                  <c:v>655</c:v>
                </c:pt>
                <c:pt idx="60">
                  <c:v>655</c:v>
                </c:pt>
                <c:pt idx="61">
                  <c:v>637</c:v>
                </c:pt>
                <c:pt idx="62">
                  <c:v>635</c:v>
                </c:pt>
                <c:pt idx="63">
                  <c:v>635</c:v>
                </c:pt>
                <c:pt idx="64">
                  <c:v>649</c:v>
                </c:pt>
                <c:pt idx="65">
                  <c:v>639</c:v>
                </c:pt>
                <c:pt idx="66">
                  <c:v>649</c:v>
                </c:pt>
                <c:pt idx="67">
                  <c:v>632</c:v>
                </c:pt>
                <c:pt idx="68">
                  <c:v>615</c:v>
                </c:pt>
                <c:pt idx="69">
                  <c:v>663</c:v>
                </c:pt>
                <c:pt idx="70">
                  <c:v>656</c:v>
                </c:pt>
                <c:pt idx="71">
                  <c:v>653</c:v>
                </c:pt>
                <c:pt idx="72">
                  <c:v>647</c:v>
                </c:pt>
                <c:pt idx="73">
                  <c:v>650</c:v>
                </c:pt>
                <c:pt idx="74">
                  <c:v>641</c:v>
                </c:pt>
                <c:pt idx="75">
                  <c:v>641</c:v>
                </c:pt>
                <c:pt idx="76">
                  <c:v>643</c:v>
                </c:pt>
                <c:pt idx="77">
                  <c:v>645</c:v>
                </c:pt>
                <c:pt idx="78">
                  <c:v>647</c:v>
                </c:pt>
                <c:pt idx="79">
                  <c:v>636</c:v>
                </c:pt>
                <c:pt idx="80">
                  <c:v>648</c:v>
                </c:pt>
                <c:pt idx="81">
                  <c:v>649</c:v>
                </c:pt>
                <c:pt idx="82">
                  <c:v>641</c:v>
                </c:pt>
                <c:pt idx="83">
                  <c:v>641</c:v>
                </c:pt>
              </c:numCache>
            </c:numRef>
          </c:yVal>
          <c:smooth val="0"/>
        </c:ser>
        <c:dLbls>
          <c:showLegendKey val="0"/>
          <c:showVal val="0"/>
          <c:showCatName val="0"/>
          <c:showSerName val="0"/>
          <c:showPercent val="0"/>
          <c:showBubbleSize val="0"/>
        </c:dLbls>
        <c:axId val="289728208"/>
        <c:axId val="288355680"/>
      </c:scatterChart>
      <c:valAx>
        <c:axId val="289728208"/>
        <c:scaling>
          <c:orientation val="minMax"/>
          <c:max val="250"/>
        </c:scaling>
        <c:delete val="0"/>
        <c:axPos val="b"/>
        <c:title>
          <c:tx>
            <c:rich>
              <a:bodyPr/>
              <a:lstStyle/>
              <a:p>
                <a:pPr>
                  <a:defRPr sz="800"/>
                </a:pPr>
                <a:r>
                  <a:rPr lang="en-US" sz="800"/>
                  <a:t>time [days]</a:t>
                </a:r>
              </a:p>
            </c:rich>
          </c:tx>
          <c:layout>
            <c:manualLayout>
              <c:xMode val="edge"/>
              <c:yMode val="edge"/>
              <c:x val="0.44458249883398698"/>
              <c:y val="0.89951717919414498"/>
            </c:manualLayout>
          </c:layout>
          <c:overlay val="0"/>
        </c:title>
        <c:numFmt formatCode="General" sourceLinked="1"/>
        <c:majorTickMark val="in"/>
        <c:minorTickMark val="in"/>
        <c:tickLblPos val="nextTo"/>
        <c:txPr>
          <a:bodyPr/>
          <a:lstStyle/>
          <a:p>
            <a:pPr>
              <a:defRPr sz="600"/>
            </a:pPr>
            <a:endParaRPr lang="en-US"/>
          </a:p>
        </c:txPr>
        <c:crossAx val="288355680"/>
        <c:crosses val="autoZero"/>
        <c:crossBetween val="midCat"/>
      </c:valAx>
      <c:valAx>
        <c:axId val="288355680"/>
        <c:scaling>
          <c:orientation val="minMax"/>
        </c:scaling>
        <c:delete val="0"/>
        <c:axPos val="l"/>
        <c:title>
          <c:tx>
            <c:rich>
              <a:bodyPr rot="-5400000" vert="horz"/>
              <a:lstStyle/>
              <a:p>
                <a:pPr>
                  <a:defRPr sz="800"/>
                </a:pPr>
                <a:r>
                  <a:rPr lang="en-US" sz="800"/>
                  <a:t>redox [mV]</a:t>
                </a:r>
              </a:p>
            </c:rich>
          </c:tx>
          <c:layout>
            <c:manualLayout>
              <c:xMode val="edge"/>
              <c:yMode val="edge"/>
              <c:x val="4.6232085067036497E-3"/>
              <c:y val="0.32153863275924399"/>
            </c:manualLayout>
          </c:layout>
          <c:overlay val="0"/>
        </c:title>
        <c:numFmt formatCode="General" sourceLinked="1"/>
        <c:majorTickMark val="in"/>
        <c:minorTickMark val="in"/>
        <c:tickLblPos val="nextTo"/>
        <c:txPr>
          <a:bodyPr/>
          <a:lstStyle/>
          <a:p>
            <a:pPr>
              <a:defRPr sz="600"/>
            </a:pPr>
            <a:endParaRPr lang="en-US"/>
          </a:p>
        </c:txPr>
        <c:crossAx val="289728208"/>
        <c:crosses val="autoZero"/>
        <c:crossBetween val="midCat"/>
      </c:valAx>
      <c:spPr>
        <a:ln>
          <a:solidFill>
            <a:sysClr val="windowText" lastClr="000000"/>
          </a:solidFill>
        </a:ln>
      </c:spPr>
    </c:plotArea>
    <c:plotVisOnly val="1"/>
    <c:dispBlanksAs val="gap"/>
    <c:showDLblsOverMax val="0"/>
  </c:chart>
  <c:spPr>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a:lstStyle/>
          <a:p>
            <a:pPr>
              <a:defRPr sz="800"/>
            </a:pPr>
            <a:r>
              <a:rPr lang="en-US" sz="800"/>
              <a:t>(c) cover</a:t>
            </a:r>
          </a:p>
        </c:rich>
      </c:tx>
      <c:layout>
        <c:manualLayout>
          <c:xMode val="edge"/>
          <c:yMode val="edge"/>
          <c:x val="0.42876075211609899"/>
          <c:y val="0"/>
        </c:manualLayout>
      </c:layout>
      <c:overlay val="0"/>
    </c:title>
    <c:autoTitleDeleted val="0"/>
    <c:plotArea>
      <c:layout>
        <c:manualLayout>
          <c:layoutTarget val="inner"/>
          <c:xMode val="edge"/>
          <c:yMode val="edge"/>
          <c:x val="0.117236680419307"/>
          <c:y val="9.9866844207723002E-2"/>
          <c:w val="0.82345660366996398"/>
          <c:h val="0.72308156054394601"/>
        </c:manualLayout>
      </c:layout>
      <c:scatterChart>
        <c:scatterStyle val="lineMarker"/>
        <c:varyColors val="0"/>
        <c:ser>
          <c:idx val="0"/>
          <c:order val="0"/>
          <c:tx>
            <c:v>cover - WATER</c:v>
          </c:tx>
          <c:spPr>
            <a:ln w="47625">
              <a:noFill/>
            </a:ln>
          </c:spPr>
          <c:marker>
            <c:symbol val="diamond"/>
            <c:size val="5"/>
            <c:spPr>
              <a:ln>
                <a:solidFill>
                  <a:srgbClr val="1F497D"/>
                </a:solidFill>
              </a:ln>
            </c:spPr>
          </c:marker>
          <c:xVal>
            <c:numRef>
              <c:f>'water only - test holdup'!$D$20:$D$150</c:f>
              <c:numCache>
                <c:formatCode>0</c:formatCode>
                <c:ptCount val="114"/>
                <c:pt idx="0" formatCode="General">
                  <c:v>0</c:v>
                </c:pt>
                <c:pt idx="1">
                  <c:v>1.0381944444452531</c:v>
                </c:pt>
                <c:pt idx="2">
                  <c:v>2.0173611111094938</c:v>
                </c:pt>
                <c:pt idx="3">
                  <c:v>3.0173611111094938</c:v>
                </c:pt>
                <c:pt idx="4">
                  <c:v>4.0173611111094942</c:v>
                </c:pt>
                <c:pt idx="5">
                  <c:v>5.0590277777810124</c:v>
                </c:pt>
                <c:pt idx="6">
                  <c:v>7.0069444444452493</c:v>
                </c:pt>
                <c:pt idx="7">
                  <c:v>8.0277777777810115</c:v>
                </c:pt>
                <c:pt idx="8">
                  <c:v>9.0868055555547507</c:v>
                </c:pt>
                <c:pt idx="9">
                  <c:v>9.9965277777810098</c:v>
                </c:pt>
                <c:pt idx="10">
                  <c:v>11.003472222226261</c:v>
                </c:pt>
                <c:pt idx="11">
                  <c:v>12.003472222226261</c:v>
                </c:pt>
                <c:pt idx="12">
                  <c:v>14.097222222226261</c:v>
                </c:pt>
                <c:pt idx="13">
                  <c:v>14.96527777778101</c:v>
                </c:pt>
                <c:pt idx="14">
                  <c:v>16.034722222226261</c:v>
                </c:pt>
                <c:pt idx="15">
                  <c:v>16.954861111109501</c:v>
                </c:pt>
                <c:pt idx="16">
                  <c:v>17.954861111109501</c:v>
                </c:pt>
                <c:pt idx="17">
                  <c:v>20.3125</c:v>
                </c:pt>
                <c:pt idx="18">
                  <c:v>22.013888888890499</c:v>
                </c:pt>
                <c:pt idx="19">
                  <c:v>22.954861111109501</c:v>
                </c:pt>
                <c:pt idx="20">
                  <c:v>23.923611111109491</c:v>
                </c:pt>
                <c:pt idx="21">
                  <c:v>24.923611111109491</c:v>
                </c:pt>
                <c:pt idx="22">
                  <c:v>25.90277777778098</c:v>
                </c:pt>
                <c:pt idx="23">
                  <c:v>31.916666666664241</c:v>
                </c:pt>
                <c:pt idx="24">
                  <c:v>35.89930555555474</c:v>
                </c:pt>
                <c:pt idx="25">
                  <c:v>37.038194444445253</c:v>
                </c:pt>
                <c:pt idx="26">
                  <c:v>38.875</c:v>
                </c:pt>
                <c:pt idx="27">
                  <c:v>40.027777777780997</c:v>
                </c:pt>
                <c:pt idx="28">
                  <c:v>42.010416666664199</c:v>
                </c:pt>
                <c:pt idx="29">
                  <c:v>43.916666666664177</c:v>
                </c:pt>
                <c:pt idx="30">
                  <c:v>45.86250000000291</c:v>
                </c:pt>
                <c:pt idx="31">
                  <c:v>47.069444444445253</c:v>
                </c:pt>
                <c:pt idx="32">
                  <c:v>47.88194444444521</c:v>
                </c:pt>
                <c:pt idx="33">
                  <c:v>49.86805555555474</c:v>
                </c:pt>
                <c:pt idx="34">
                  <c:v>52.24305555555474</c:v>
                </c:pt>
                <c:pt idx="35">
                  <c:v>53.111111111109501</c:v>
                </c:pt>
                <c:pt idx="36">
                  <c:v>55.96875</c:v>
                </c:pt>
                <c:pt idx="37">
                  <c:v>58.069444444445253</c:v>
                </c:pt>
                <c:pt idx="38">
                  <c:v>58.94444444444521</c:v>
                </c:pt>
                <c:pt idx="39">
                  <c:v>60.861111111109501</c:v>
                </c:pt>
                <c:pt idx="40">
                  <c:v>63.045138888890499</c:v>
                </c:pt>
                <c:pt idx="41">
                  <c:v>64.871527777780955</c:v>
                </c:pt>
                <c:pt idx="42">
                  <c:v>66.86111111110948</c:v>
                </c:pt>
                <c:pt idx="43">
                  <c:v>68.95486111110948</c:v>
                </c:pt>
                <c:pt idx="44">
                  <c:v>71.04861111110948</c:v>
                </c:pt>
                <c:pt idx="45">
                  <c:v>74.86111111110948</c:v>
                </c:pt>
                <c:pt idx="46">
                  <c:v>77.03472222222625</c:v>
                </c:pt>
                <c:pt idx="47">
                  <c:v>78.871527777780955</c:v>
                </c:pt>
                <c:pt idx="48">
                  <c:v>80.871527777780955</c:v>
                </c:pt>
                <c:pt idx="49">
                  <c:v>84.874999999999986</c:v>
                </c:pt>
                <c:pt idx="50">
                  <c:v>87.100694444445267</c:v>
                </c:pt>
                <c:pt idx="51">
                  <c:v>88.868055555554662</c:v>
                </c:pt>
                <c:pt idx="52">
                  <c:v>90.996527777781012</c:v>
                </c:pt>
                <c:pt idx="53">
                  <c:v>92.86111111110948</c:v>
                </c:pt>
                <c:pt idx="54">
                  <c:v>94.86111111110948</c:v>
                </c:pt>
                <c:pt idx="55">
                  <c:v>96.934027777781012</c:v>
                </c:pt>
                <c:pt idx="56">
                  <c:v>98.888888888890406</c:v>
                </c:pt>
                <c:pt idx="57">
                  <c:v>100.9479166666642</c:v>
                </c:pt>
                <c:pt idx="58">
                  <c:v>102.86111111110949</c:v>
                </c:pt>
                <c:pt idx="59">
                  <c:v>104.9618055555547</c:v>
                </c:pt>
                <c:pt idx="60">
                  <c:v>107.0416666666642</c:v>
                </c:pt>
                <c:pt idx="61">
                  <c:v>108.8645833333358</c:v>
                </c:pt>
                <c:pt idx="62">
                  <c:v>110.996527777781</c:v>
                </c:pt>
                <c:pt idx="63">
                  <c:v>112.86111111110949</c:v>
                </c:pt>
                <c:pt idx="64">
                  <c:v>114.86111111110949</c:v>
                </c:pt>
                <c:pt idx="65">
                  <c:v>118.98611111110949</c:v>
                </c:pt>
                <c:pt idx="66">
                  <c:v>120.86111111110949</c:v>
                </c:pt>
                <c:pt idx="67">
                  <c:v>122.86111111110949</c:v>
                </c:pt>
                <c:pt idx="68">
                  <c:v>126.8645833333358</c:v>
                </c:pt>
                <c:pt idx="69">
                  <c:v>128.85763888889051</c:v>
                </c:pt>
                <c:pt idx="70">
                  <c:v>133.02777777778101</c:v>
                </c:pt>
                <c:pt idx="71">
                  <c:v>135.11805555555469</c:v>
                </c:pt>
                <c:pt idx="72">
                  <c:v>136.86458333333579</c:v>
                </c:pt>
                <c:pt idx="73">
                  <c:v>140.88194444444531</c:v>
                </c:pt>
                <c:pt idx="74">
                  <c:v>142.86458333333579</c:v>
                </c:pt>
                <c:pt idx="75">
                  <c:v>153.00347222222629</c:v>
                </c:pt>
                <c:pt idx="76">
                  <c:v>157.85416666666421</c:v>
                </c:pt>
                <c:pt idx="77">
                  <c:v>160.01736111110949</c:v>
                </c:pt>
                <c:pt idx="78">
                  <c:v>161.85763888889051</c:v>
                </c:pt>
                <c:pt idx="79">
                  <c:v>168.02430555555469</c:v>
                </c:pt>
                <c:pt idx="80">
                  <c:v>169.86111111110949</c:v>
                </c:pt>
                <c:pt idx="81">
                  <c:v>173.98263888889051</c:v>
                </c:pt>
                <c:pt idx="82">
                  <c:v>175.85763888889051</c:v>
                </c:pt>
                <c:pt idx="83">
                  <c:v>177.97222222222629</c:v>
                </c:pt>
                <c:pt idx="84">
                  <c:v>179.86111111110949</c:v>
                </c:pt>
                <c:pt idx="85">
                  <c:v>181.97569444444531</c:v>
                </c:pt>
                <c:pt idx="86">
                  <c:v>183.86111111110949</c:v>
                </c:pt>
                <c:pt idx="87">
                  <c:v>185.86111111110949</c:v>
                </c:pt>
                <c:pt idx="88">
                  <c:v>187.99652777778101</c:v>
                </c:pt>
                <c:pt idx="89">
                  <c:v>189.85416666666421</c:v>
                </c:pt>
                <c:pt idx="90">
                  <c:v>196.86111111110949</c:v>
                </c:pt>
                <c:pt idx="91">
                  <c:v>198.85416666666421</c:v>
                </c:pt>
                <c:pt idx="92">
                  <c:v>200.84722222222629</c:v>
                </c:pt>
                <c:pt idx="93">
                  <c:v>203.84722222222629</c:v>
                </c:pt>
                <c:pt idx="94">
                  <c:v>205.85416666666421</c:v>
                </c:pt>
                <c:pt idx="95">
                  <c:v>207.85763888889051</c:v>
                </c:pt>
                <c:pt idx="96">
                  <c:v>210.85069444444531</c:v>
                </c:pt>
                <c:pt idx="97">
                  <c:v>212.85763888889051</c:v>
                </c:pt>
                <c:pt idx="98">
                  <c:v>214.85416666666421</c:v>
                </c:pt>
                <c:pt idx="99">
                  <c:v>217.86111111110949</c:v>
                </c:pt>
                <c:pt idx="100">
                  <c:v>221.11111111110949</c:v>
                </c:pt>
                <c:pt idx="101">
                  <c:v>224.00694444444531</c:v>
                </c:pt>
                <c:pt idx="102">
                  <c:v>225.85416666666421</c:v>
                </c:pt>
                <c:pt idx="103">
                  <c:v>227.86111111110949</c:v>
                </c:pt>
                <c:pt idx="104">
                  <c:v>230.20486111110949</c:v>
                </c:pt>
                <c:pt idx="105">
                  <c:v>231.86111111110949</c:v>
                </c:pt>
                <c:pt idx="106">
                  <c:v>233.84722222222629</c:v>
                </c:pt>
                <c:pt idx="107">
                  <c:v>235.85416666666421</c:v>
                </c:pt>
                <c:pt idx="108">
                  <c:v>238.85069444444531</c:v>
                </c:pt>
                <c:pt idx="109">
                  <c:v>241.85416666666421</c:v>
                </c:pt>
                <c:pt idx="110">
                  <c:v>243.97222222222629</c:v>
                </c:pt>
                <c:pt idx="111">
                  <c:v>245.85069444444531</c:v>
                </c:pt>
                <c:pt idx="112">
                  <c:v>247.85416666666421</c:v>
                </c:pt>
                <c:pt idx="113">
                  <c:v>249.85763888889051</c:v>
                </c:pt>
              </c:numCache>
            </c:numRef>
          </c:xVal>
          <c:yVal>
            <c:numRef>
              <c:f>'water only - test holdup'!$G$20:$G$150</c:f>
              <c:numCache>
                <c:formatCode>General</c:formatCode>
                <c:ptCount val="114"/>
                <c:pt idx="0">
                  <c:v>9.15</c:v>
                </c:pt>
                <c:pt idx="1">
                  <c:v>7.94</c:v>
                </c:pt>
                <c:pt idx="2">
                  <c:v>8.11</c:v>
                </c:pt>
                <c:pt idx="3">
                  <c:v>8.1300000000000008</c:v>
                </c:pt>
                <c:pt idx="4">
                  <c:v>8.07</c:v>
                </c:pt>
                <c:pt idx="5">
                  <c:v>8.1</c:v>
                </c:pt>
                <c:pt idx="6">
                  <c:v>8.1199999999999992</c:v>
                </c:pt>
                <c:pt idx="7">
                  <c:v>8.02</c:v>
                </c:pt>
                <c:pt idx="8">
                  <c:v>7.96</c:v>
                </c:pt>
                <c:pt idx="9">
                  <c:v>8.0399999999999991</c:v>
                </c:pt>
                <c:pt idx="10">
                  <c:v>7.94</c:v>
                </c:pt>
                <c:pt idx="11">
                  <c:v>8</c:v>
                </c:pt>
                <c:pt idx="12">
                  <c:v>7.97</c:v>
                </c:pt>
                <c:pt idx="13">
                  <c:v>7.94</c:v>
                </c:pt>
                <c:pt idx="14">
                  <c:v>7.91</c:v>
                </c:pt>
                <c:pt idx="15">
                  <c:v>7.95</c:v>
                </c:pt>
                <c:pt idx="16">
                  <c:v>7.95</c:v>
                </c:pt>
                <c:pt idx="17">
                  <c:v>7.95</c:v>
                </c:pt>
                <c:pt idx="18">
                  <c:v>8.01</c:v>
                </c:pt>
                <c:pt idx="19">
                  <c:v>7.96</c:v>
                </c:pt>
                <c:pt idx="20">
                  <c:v>7.94</c:v>
                </c:pt>
                <c:pt idx="21">
                  <c:v>8.0299999999999994</c:v>
                </c:pt>
                <c:pt idx="22">
                  <c:v>7.98</c:v>
                </c:pt>
                <c:pt idx="23">
                  <c:v>7.94</c:v>
                </c:pt>
                <c:pt idx="24">
                  <c:v>8</c:v>
                </c:pt>
                <c:pt idx="25">
                  <c:v>7.6899999999999986</c:v>
                </c:pt>
                <c:pt idx="26">
                  <c:v>7.9</c:v>
                </c:pt>
                <c:pt idx="27">
                  <c:v>7.8</c:v>
                </c:pt>
                <c:pt idx="28">
                  <c:v>7.95</c:v>
                </c:pt>
                <c:pt idx="29">
                  <c:v>8.14</c:v>
                </c:pt>
                <c:pt idx="30">
                  <c:v>8.1300000000000008</c:v>
                </c:pt>
                <c:pt idx="31">
                  <c:v>7.76</c:v>
                </c:pt>
                <c:pt idx="32">
                  <c:v>7.8599999999999977</c:v>
                </c:pt>
                <c:pt idx="33">
                  <c:v>7.9</c:v>
                </c:pt>
                <c:pt idx="34">
                  <c:v>7.7</c:v>
                </c:pt>
                <c:pt idx="35">
                  <c:v>7.6199999999999957</c:v>
                </c:pt>
                <c:pt idx="36">
                  <c:v>7.98</c:v>
                </c:pt>
                <c:pt idx="37">
                  <c:v>7.76</c:v>
                </c:pt>
                <c:pt idx="38">
                  <c:v>7.91</c:v>
                </c:pt>
                <c:pt idx="39">
                  <c:v>8.11</c:v>
                </c:pt>
                <c:pt idx="41">
                  <c:v>7.49</c:v>
                </c:pt>
                <c:pt idx="42">
                  <c:v>7.44</c:v>
                </c:pt>
                <c:pt idx="43">
                  <c:v>7.6099999999999977</c:v>
                </c:pt>
                <c:pt idx="44">
                  <c:v>7.7</c:v>
                </c:pt>
                <c:pt idx="45">
                  <c:v>7.6</c:v>
                </c:pt>
                <c:pt idx="46">
                  <c:v>7.6599999999999957</c:v>
                </c:pt>
                <c:pt idx="47">
                  <c:v>7.64</c:v>
                </c:pt>
                <c:pt idx="48">
                  <c:v>7.6499999999999977</c:v>
                </c:pt>
                <c:pt idx="49">
                  <c:v>7.42</c:v>
                </c:pt>
                <c:pt idx="50">
                  <c:v>7.42</c:v>
                </c:pt>
                <c:pt idx="51">
                  <c:v>7.31</c:v>
                </c:pt>
                <c:pt idx="52">
                  <c:v>7.33</c:v>
                </c:pt>
                <c:pt idx="53">
                  <c:v>7.35</c:v>
                </c:pt>
                <c:pt idx="54">
                  <c:v>7.5</c:v>
                </c:pt>
                <c:pt idx="55">
                  <c:v>7.38</c:v>
                </c:pt>
                <c:pt idx="56">
                  <c:v>7.27</c:v>
                </c:pt>
                <c:pt idx="57">
                  <c:v>7.43</c:v>
                </c:pt>
                <c:pt idx="58">
                  <c:v>7.34</c:v>
                </c:pt>
                <c:pt idx="59">
                  <c:v>7.44</c:v>
                </c:pt>
                <c:pt idx="60">
                  <c:v>7.46</c:v>
                </c:pt>
                <c:pt idx="61">
                  <c:v>7.43</c:v>
                </c:pt>
                <c:pt idx="62">
                  <c:v>7.49</c:v>
                </c:pt>
                <c:pt idx="63">
                  <c:v>7.53</c:v>
                </c:pt>
                <c:pt idx="64">
                  <c:v>7.54</c:v>
                </c:pt>
                <c:pt idx="65">
                  <c:v>7.5</c:v>
                </c:pt>
                <c:pt idx="66">
                  <c:v>7.49</c:v>
                </c:pt>
                <c:pt idx="67">
                  <c:v>7.6199999999999957</c:v>
                </c:pt>
                <c:pt idx="68">
                  <c:v>7.58</c:v>
                </c:pt>
                <c:pt idx="69">
                  <c:v>7.73</c:v>
                </c:pt>
                <c:pt idx="70">
                  <c:v>7.6199999999999957</c:v>
                </c:pt>
                <c:pt idx="71">
                  <c:v>7.87</c:v>
                </c:pt>
                <c:pt idx="72">
                  <c:v>7.54</c:v>
                </c:pt>
                <c:pt idx="73">
                  <c:v>7.6</c:v>
                </c:pt>
                <c:pt idx="74">
                  <c:v>7.45</c:v>
                </c:pt>
                <c:pt idx="75">
                  <c:v>7.72</c:v>
                </c:pt>
                <c:pt idx="76">
                  <c:v>7.54</c:v>
                </c:pt>
                <c:pt idx="77">
                  <c:v>7.79</c:v>
                </c:pt>
                <c:pt idx="78">
                  <c:v>7.85</c:v>
                </c:pt>
                <c:pt idx="79">
                  <c:v>7.8199999999999976</c:v>
                </c:pt>
                <c:pt idx="80">
                  <c:v>7.9</c:v>
                </c:pt>
                <c:pt idx="81">
                  <c:v>7.7699999999999987</c:v>
                </c:pt>
                <c:pt idx="82">
                  <c:v>7.74</c:v>
                </c:pt>
                <c:pt idx="85">
                  <c:v>7.37</c:v>
                </c:pt>
                <c:pt idx="86">
                  <c:v>7.42</c:v>
                </c:pt>
                <c:pt idx="87">
                  <c:v>7.56</c:v>
                </c:pt>
                <c:pt idx="88">
                  <c:v>7.48</c:v>
                </c:pt>
                <c:pt idx="89">
                  <c:v>7.44</c:v>
                </c:pt>
                <c:pt idx="90">
                  <c:v>7.8</c:v>
                </c:pt>
                <c:pt idx="91">
                  <c:v>7.63</c:v>
                </c:pt>
                <c:pt idx="92">
                  <c:v>7.67</c:v>
                </c:pt>
                <c:pt idx="93">
                  <c:v>7.76</c:v>
                </c:pt>
                <c:pt idx="94">
                  <c:v>7.76</c:v>
                </c:pt>
                <c:pt idx="95">
                  <c:v>7.71</c:v>
                </c:pt>
                <c:pt idx="96">
                  <c:v>7.71</c:v>
                </c:pt>
                <c:pt idx="97">
                  <c:v>7.72</c:v>
                </c:pt>
                <c:pt idx="98">
                  <c:v>7.73</c:v>
                </c:pt>
                <c:pt idx="99">
                  <c:v>7.7699999999999987</c:v>
                </c:pt>
                <c:pt idx="100">
                  <c:v>7.5</c:v>
                </c:pt>
                <c:pt idx="103">
                  <c:v>8.0299999999999994</c:v>
                </c:pt>
                <c:pt idx="104">
                  <c:v>8.01</c:v>
                </c:pt>
                <c:pt idx="112">
                  <c:v>7.6599999999999957</c:v>
                </c:pt>
                <c:pt idx="113">
                  <c:v>7.8</c:v>
                </c:pt>
              </c:numCache>
            </c:numRef>
          </c:yVal>
          <c:smooth val="0"/>
        </c:ser>
        <c:ser>
          <c:idx val="2"/>
          <c:order val="1"/>
          <c:tx>
            <c:v>cover - ABIOTIC</c:v>
          </c:tx>
          <c:spPr>
            <a:ln w="47625">
              <a:noFill/>
            </a:ln>
          </c:spPr>
          <c:marker>
            <c:symbol val="square"/>
            <c:size val="5"/>
            <c:spPr>
              <a:solidFill>
                <a:schemeClr val="accent5">
                  <a:lumMod val="75000"/>
                </a:schemeClr>
              </a:solidFill>
              <a:ln>
                <a:solidFill>
                  <a:schemeClr val="accent5">
                    <a:lumMod val="50000"/>
                  </a:schemeClr>
                </a:solidFill>
              </a:ln>
            </c:spPr>
          </c:marker>
          <c:xVal>
            <c:numRef>
              <c:f>'acid-water only - test'!$D$24:$D$116</c:f>
              <c:numCache>
                <c:formatCode>0</c:formatCode>
                <c:ptCount val="81"/>
                <c:pt idx="0" formatCode="General">
                  <c:v>0</c:v>
                </c:pt>
                <c:pt idx="1">
                  <c:v>1.138888888890506</c:v>
                </c:pt>
                <c:pt idx="2">
                  <c:v>2.163194444445252</c:v>
                </c:pt>
                <c:pt idx="3">
                  <c:v>3.03125</c:v>
                </c:pt>
                <c:pt idx="4">
                  <c:v>4.1736111111167702</c:v>
                </c:pt>
                <c:pt idx="5">
                  <c:v>5.8888888888905058</c:v>
                </c:pt>
                <c:pt idx="6">
                  <c:v>7.9895833333357587</c:v>
                </c:pt>
                <c:pt idx="7">
                  <c:v>8.8645833333357604</c:v>
                </c:pt>
                <c:pt idx="8">
                  <c:v>10.78125</c:v>
                </c:pt>
                <c:pt idx="9">
                  <c:v>12.96527777778101</c:v>
                </c:pt>
                <c:pt idx="10">
                  <c:v>14.791666666671521</c:v>
                </c:pt>
                <c:pt idx="11">
                  <c:v>16.78125</c:v>
                </c:pt>
                <c:pt idx="12">
                  <c:v>18.875</c:v>
                </c:pt>
                <c:pt idx="13">
                  <c:v>20.96875</c:v>
                </c:pt>
                <c:pt idx="14">
                  <c:v>22.868055555554751</c:v>
                </c:pt>
                <c:pt idx="15">
                  <c:v>24.78125</c:v>
                </c:pt>
                <c:pt idx="16">
                  <c:v>26.95486111111677</c:v>
                </c:pt>
                <c:pt idx="17">
                  <c:v>28.791666666671521</c:v>
                </c:pt>
                <c:pt idx="18">
                  <c:v>30.791666666671521</c:v>
                </c:pt>
                <c:pt idx="19">
                  <c:v>37.020833333335752</c:v>
                </c:pt>
                <c:pt idx="20">
                  <c:v>38.788194444445253</c:v>
                </c:pt>
                <c:pt idx="21">
                  <c:v>40.916666666671482</c:v>
                </c:pt>
                <c:pt idx="22">
                  <c:v>42.78125</c:v>
                </c:pt>
                <c:pt idx="23">
                  <c:v>44.78125</c:v>
                </c:pt>
                <c:pt idx="24">
                  <c:v>46.854166666671482</c:v>
                </c:pt>
                <c:pt idx="25">
                  <c:v>52.78125</c:v>
                </c:pt>
                <c:pt idx="26">
                  <c:v>54.88194444444521</c:v>
                </c:pt>
                <c:pt idx="27">
                  <c:v>56.961805555554747</c:v>
                </c:pt>
                <c:pt idx="28">
                  <c:v>60.916666666671482</c:v>
                </c:pt>
                <c:pt idx="29">
                  <c:v>62.78125</c:v>
                </c:pt>
                <c:pt idx="30">
                  <c:v>64.78125</c:v>
                </c:pt>
                <c:pt idx="31">
                  <c:v>68.90625</c:v>
                </c:pt>
                <c:pt idx="32">
                  <c:v>70.78125</c:v>
                </c:pt>
                <c:pt idx="33">
                  <c:v>72.78125</c:v>
                </c:pt>
                <c:pt idx="34">
                  <c:v>76.78472222222625</c:v>
                </c:pt>
                <c:pt idx="35">
                  <c:v>78.777777777780898</c:v>
                </c:pt>
                <c:pt idx="36">
                  <c:v>82.947916666671503</c:v>
                </c:pt>
                <c:pt idx="37">
                  <c:v>85.038194444445267</c:v>
                </c:pt>
                <c:pt idx="38">
                  <c:v>86.78472222222625</c:v>
                </c:pt>
                <c:pt idx="39">
                  <c:v>90.802083333335702</c:v>
                </c:pt>
                <c:pt idx="40">
                  <c:v>92.78472222222625</c:v>
                </c:pt>
                <c:pt idx="41">
                  <c:v>100.79513888889051</c:v>
                </c:pt>
                <c:pt idx="42">
                  <c:v>102.9236111111168</c:v>
                </c:pt>
                <c:pt idx="43">
                  <c:v>107.7743055555547</c:v>
                </c:pt>
                <c:pt idx="44">
                  <c:v>109.9375</c:v>
                </c:pt>
                <c:pt idx="45">
                  <c:v>111.777777777781</c:v>
                </c:pt>
                <c:pt idx="46">
                  <c:v>117.9444444444453</c:v>
                </c:pt>
                <c:pt idx="47">
                  <c:v>119.78125</c:v>
                </c:pt>
                <c:pt idx="48">
                  <c:v>121.777777777781</c:v>
                </c:pt>
                <c:pt idx="49">
                  <c:v>123.902777777781</c:v>
                </c:pt>
                <c:pt idx="50">
                  <c:v>125.777777777781</c:v>
                </c:pt>
                <c:pt idx="51">
                  <c:v>127.8923611111168</c:v>
                </c:pt>
                <c:pt idx="52">
                  <c:v>129.78125</c:v>
                </c:pt>
                <c:pt idx="53">
                  <c:v>131.89583333333579</c:v>
                </c:pt>
                <c:pt idx="54">
                  <c:v>133.78125</c:v>
                </c:pt>
                <c:pt idx="55">
                  <c:v>135.78125</c:v>
                </c:pt>
                <c:pt idx="56">
                  <c:v>139.77430555555469</c:v>
                </c:pt>
                <c:pt idx="57">
                  <c:v>146.78125</c:v>
                </c:pt>
                <c:pt idx="58">
                  <c:v>148.77430555555469</c:v>
                </c:pt>
                <c:pt idx="59">
                  <c:v>150.7673611111168</c:v>
                </c:pt>
                <c:pt idx="60">
                  <c:v>153.7673611111168</c:v>
                </c:pt>
                <c:pt idx="61">
                  <c:v>155.77430555555469</c:v>
                </c:pt>
                <c:pt idx="62">
                  <c:v>157.77777777778101</c:v>
                </c:pt>
                <c:pt idx="63">
                  <c:v>160.77083333333579</c:v>
                </c:pt>
                <c:pt idx="64">
                  <c:v>162.77777777778101</c:v>
                </c:pt>
                <c:pt idx="65">
                  <c:v>164.77430555555469</c:v>
                </c:pt>
                <c:pt idx="66">
                  <c:v>167.48958333333579</c:v>
                </c:pt>
                <c:pt idx="67">
                  <c:v>171.03125</c:v>
                </c:pt>
                <c:pt idx="68">
                  <c:v>173.92708333333579</c:v>
                </c:pt>
                <c:pt idx="69">
                  <c:v>175.77430555555469</c:v>
                </c:pt>
                <c:pt idx="70">
                  <c:v>177.78125</c:v>
                </c:pt>
                <c:pt idx="71">
                  <c:v>180.125</c:v>
                </c:pt>
                <c:pt idx="72">
                  <c:v>181.78125</c:v>
                </c:pt>
                <c:pt idx="73">
                  <c:v>183.7673611111168</c:v>
                </c:pt>
                <c:pt idx="74">
                  <c:v>185.77430555555469</c:v>
                </c:pt>
                <c:pt idx="75">
                  <c:v>188.77083333333579</c:v>
                </c:pt>
                <c:pt idx="76">
                  <c:v>191.77430555555469</c:v>
                </c:pt>
                <c:pt idx="77">
                  <c:v>193.8923611111168</c:v>
                </c:pt>
                <c:pt idx="78">
                  <c:v>195.77083333333579</c:v>
                </c:pt>
                <c:pt idx="79">
                  <c:v>197.77430555555469</c:v>
                </c:pt>
                <c:pt idx="80">
                  <c:v>199.77777777778101</c:v>
                </c:pt>
              </c:numCache>
            </c:numRef>
          </c:xVal>
          <c:yVal>
            <c:numRef>
              <c:f>'acid-water only - test'!$G$24:$G$116</c:f>
              <c:numCache>
                <c:formatCode>General</c:formatCode>
                <c:ptCount val="81"/>
                <c:pt idx="0">
                  <c:v>2</c:v>
                </c:pt>
                <c:pt idx="2">
                  <c:v>6.21</c:v>
                </c:pt>
                <c:pt idx="3">
                  <c:v>7.35</c:v>
                </c:pt>
                <c:pt idx="4">
                  <c:v>7.3</c:v>
                </c:pt>
                <c:pt idx="5">
                  <c:v>7.44</c:v>
                </c:pt>
                <c:pt idx="6">
                  <c:v>7.3</c:v>
                </c:pt>
                <c:pt idx="7">
                  <c:v>7.49</c:v>
                </c:pt>
                <c:pt idx="8">
                  <c:v>7.23</c:v>
                </c:pt>
                <c:pt idx="10">
                  <c:v>7.58</c:v>
                </c:pt>
                <c:pt idx="11">
                  <c:v>7.44</c:v>
                </c:pt>
                <c:pt idx="12">
                  <c:v>7.7</c:v>
                </c:pt>
                <c:pt idx="13">
                  <c:v>7.43</c:v>
                </c:pt>
                <c:pt idx="14">
                  <c:v>7.51</c:v>
                </c:pt>
                <c:pt idx="15">
                  <c:v>7.54</c:v>
                </c:pt>
                <c:pt idx="16">
                  <c:v>7.7699999999999987</c:v>
                </c:pt>
                <c:pt idx="17">
                  <c:v>7.53</c:v>
                </c:pt>
                <c:pt idx="18">
                  <c:v>7.44</c:v>
                </c:pt>
                <c:pt idx="19">
                  <c:v>7.43</c:v>
                </c:pt>
                <c:pt idx="20">
                  <c:v>7.39</c:v>
                </c:pt>
                <c:pt idx="21">
                  <c:v>7.26</c:v>
                </c:pt>
                <c:pt idx="22">
                  <c:v>7.34</c:v>
                </c:pt>
                <c:pt idx="23">
                  <c:v>7.63</c:v>
                </c:pt>
                <c:pt idx="24">
                  <c:v>7.49</c:v>
                </c:pt>
                <c:pt idx="25">
                  <c:v>7.38</c:v>
                </c:pt>
                <c:pt idx="26">
                  <c:v>7.23</c:v>
                </c:pt>
                <c:pt idx="27">
                  <c:v>7.49</c:v>
                </c:pt>
                <c:pt idx="28">
                  <c:v>7.37</c:v>
                </c:pt>
                <c:pt idx="29">
                  <c:v>7.44</c:v>
                </c:pt>
                <c:pt idx="30">
                  <c:v>7.45</c:v>
                </c:pt>
                <c:pt idx="31">
                  <c:v>7.6199999999999957</c:v>
                </c:pt>
                <c:pt idx="32">
                  <c:v>7.52</c:v>
                </c:pt>
                <c:pt idx="33">
                  <c:v>7.46</c:v>
                </c:pt>
                <c:pt idx="34">
                  <c:v>7.48</c:v>
                </c:pt>
                <c:pt idx="35">
                  <c:v>7.53</c:v>
                </c:pt>
                <c:pt idx="36">
                  <c:v>7.4</c:v>
                </c:pt>
                <c:pt idx="37">
                  <c:v>7.7</c:v>
                </c:pt>
                <c:pt idx="38">
                  <c:v>7.5</c:v>
                </c:pt>
                <c:pt idx="39">
                  <c:v>7.68</c:v>
                </c:pt>
                <c:pt idx="40">
                  <c:v>7.48</c:v>
                </c:pt>
                <c:pt idx="41">
                  <c:v>7.72</c:v>
                </c:pt>
                <c:pt idx="42">
                  <c:v>8.3000000000000007</c:v>
                </c:pt>
                <c:pt idx="43">
                  <c:v>7.27</c:v>
                </c:pt>
                <c:pt idx="45">
                  <c:v>7.45</c:v>
                </c:pt>
                <c:pt idx="46">
                  <c:v>7.3199999999999976</c:v>
                </c:pt>
                <c:pt idx="49">
                  <c:v>7.72</c:v>
                </c:pt>
                <c:pt idx="50">
                  <c:v>7.76</c:v>
                </c:pt>
                <c:pt idx="53">
                  <c:v>7.6199999999999957</c:v>
                </c:pt>
                <c:pt idx="54">
                  <c:v>7.6199999999999957</c:v>
                </c:pt>
                <c:pt idx="55">
                  <c:v>7.6199999999999957</c:v>
                </c:pt>
                <c:pt idx="59">
                  <c:v>7.83</c:v>
                </c:pt>
              </c:numCache>
            </c:numRef>
          </c:yVal>
          <c:smooth val="0"/>
        </c:ser>
        <c:ser>
          <c:idx val="3"/>
          <c:order val="2"/>
          <c:tx>
            <c:v>cover - BIOTIC</c:v>
          </c:tx>
          <c:spPr>
            <a:ln w="47625">
              <a:noFill/>
            </a:ln>
          </c:spPr>
          <c:marker>
            <c:symbol val="circle"/>
            <c:size val="5"/>
            <c:spPr>
              <a:solidFill>
                <a:schemeClr val="accent6">
                  <a:lumMod val="60000"/>
                  <a:lumOff val="40000"/>
                </a:schemeClr>
              </a:solidFill>
              <a:ln>
                <a:solidFill>
                  <a:schemeClr val="accent6"/>
                </a:solidFill>
              </a:ln>
            </c:spPr>
          </c:marker>
          <c:xVal>
            <c:numRef>
              <c:f>'acid-water-inoc - test'!$D$25:$D$117</c:f>
              <c:numCache>
                <c:formatCode>0</c:formatCode>
                <c:ptCount val="84"/>
                <c:pt idx="0" formatCode="General">
                  <c:v>0</c:v>
                </c:pt>
                <c:pt idx="1">
                  <c:v>1.138888888890506</c:v>
                </c:pt>
                <c:pt idx="2">
                  <c:v>2.163194444445252</c:v>
                </c:pt>
                <c:pt idx="3">
                  <c:v>3.03125</c:v>
                </c:pt>
                <c:pt idx="4">
                  <c:v>4.1736111111167702</c:v>
                </c:pt>
                <c:pt idx="5">
                  <c:v>5.8888888888905058</c:v>
                </c:pt>
                <c:pt idx="6">
                  <c:v>7.9895833333357587</c:v>
                </c:pt>
                <c:pt idx="7">
                  <c:v>8.8645833333357604</c:v>
                </c:pt>
                <c:pt idx="8">
                  <c:v>10.78125</c:v>
                </c:pt>
                <c:pt idx="9">
                  <c:v>12.96527777778101</c:v>
                </c:pt>
                <c:pt idx="10">
                  <c:v>14.791666666671521</c:v>
                </c:pt>
                <c:pt idx="11">
                  <c:v>16.78125</c:v>
                </c:pt>
                <c:pt idx="12">
                  <c:v>18.875</c:v>
                </c:pt>
                <c:pt idx="13">
                  <c:v>20.96875</c:v>
                </c:pt>
                <c:pt idx="14">
                  <c:v>22.868055555554751</c:v>
                </c:pt>
                <c:pt idx="15">
                  <c:v>24.78125</c:v>
                </c:pt>
                <c:pt idx="16">
                  <c:v>26.95486111111677</c:v>
                </c:pt>
                <c:pt idx="17">
                  <c:v>28.791666666671521</c:v>
                </c:pt>
                <c:pt idx="18">
                  <c:v>30.791666666671521</c:v>
                </c:pt>
                <c:pt idx="19">
                  <c:v>32.90625</c:v>
                </c:pt>
                <c:pt idx="20">
                  <c:v>34.795138888890499</c:v>
                </c:pt>
                <c:pt idx="21">
                  <c:v>37.020833333335752</c:v>
                </c:pt>
                <c:pt idx="22">
                  <c:v>38.788194444445253</c:v>
                </c:pt>
                <c:pt idx="23">
                  <c:v>40.916666666671482</c:v>
                </c:pt>
                <c:pt idx="24">
                  <c:v>42.78125</c:v>
                </c:pt>
                <c:pt idx="25">
                  <c:v>44.78125</c:v>
                </c:pt>
                <c:pt idx="26">
                  <c:v>46.854166666671482</c:v>
                </c:pt>
                <c:pt idx="27">
                  <c:v>48.809027777780969</c:v>
                </c:pt>
                <c:pt idx="28">
                  <c:v>50.86805555555474</c:v>
                </c:pt>
                <c:pt idx="29">
                  <c:v>54.88194444444521</c:v>
                </c:pt>
                <c:pt idx="30">
                  <c:v>56.961805555554747</c:v>
                </c:pt>
                <c:pt idx="31">
                  <c:v>58.784722222226257</c:v>
                </c:pt>
                <c:pt idx="32">
                  <c:v>60.916666666671482</c:v>
                </c:pt>
                <c:pt idx="33">
                  <c:v>62.78125</c:v>
                </c:pt>
                <c:pt idx="34">
                  <c:v>64.78125</c:v>
                </c:pt>
                <c:pt idx="35">
                  <c:v>68.90625</c:v>
                </c:pt>
                <c:pt idx="36">
                  <c:v>70.78125</c:v>
                </c:pt>
                <c:pt idx="37">
                  <c:v>72.78125</c:v>
                </c:pt>
                <c:pt idx="38">
                  <c:v>76.78472222222625</c:v>
                </c:pt>
                <c:pt idx="39">
                  <c:v>78.777777777780898</c:v>
                </c:pt>
                <c:pt idx="40">
                  <c:v>82.947916666671503</c:v>
                </c:pt>
                <c:pt idx="41">
                  <c:v>85.038194444445267</c:v>
                </c:pt>
                <c:pt idx="42">
                  <c:v>86.78472222222625</c:v>
                </c:pt>
                <c:pt idx="43">
                  <c:v>90.802083333335702</c:v>
                </c:pt>
                <c:pt idx="44">
                  <c:v>92.78472222222625</c:v>
                </c:pt>
                <c:pt idx="45">
                  <c:v>100.79513888889051</c:v>
                </c:pt>
                <c:pt idx="46">
                  <c:v>102.9236111111168</c:v>
                </c:pt>
                <c:pt idx="47">
                  <c:v>105.7881944444453</c:v>
                </c:pt>
                <c:pt idx="48">
                  <c:v>107.7743055555547</c:v>
                </c:pt>
                <c:pt idx="49">
                  <c:v>109.9375</c:v>
                </c:pt>
                <c:pt idx="50">
                  <c:v>119.78125</c:v>
                </c:pt>
                <c:pt idx="51">
                  <c:v>121.777777777781</c:v>
                </c:pt>
                <c:pt idx="52">
                  <c:v>123.902777777781</c:v>
                </c:pt>
                <c:pt idx="53">
                  <c:v>125.777777777781</c:v>
                </c:pt>
                <c:pt idx="54">
                  <c:v>127.8923611111168</c:v>
                </c:pt>
                <c:pt idx="55">
                  <c:v>129.78125</c:v>
                </c:pt>
                <c:pt idx="56">
                  <c:v>131.89583333333579</c:v>
                </c:pt>
                <c:pt idx="57">
                  <c:v>133.48958333333579</c:v>
                </c:pt>
                <c:pt idx="58">
                  <c:v>135.78125</c:v>
                </c:pt>
                <c:pt idx="59">
                  <c:v>137.91666666667149</c:v>
                </c:pt>
                <c:pt idx="60">
                  <c:v>139.77430555555469</c:v>
                </c:pt>
                <c:pt idx="61">
                  <c:v>146.78125</c:v>
                </c:pt>
                <c:pt idx="62">
                  <c:v>148.77430555555469</c:v>
                </c:pt>
                <c:pt idx="63">
                  <c:v>150.7673611111168</c:v>
                </c:pt>
                <c:pt idx="64">
                  <c:v>153.7673611111168</c:v>
                </c:pt>
                <c:pt idx="65">
                  <c:v>155.77430555555469</c:v>
                </c:pt>
                <c:pt idx="66">
                  <c:v>157.77777777778101</c:v>
                </c:pt>
                <c:pt idx="67">
                  <c:v>160.77083333333579</c:v>
                </c:pt>
                <c:pt idx="68">
                  <c:v>162.77777777778101</c:v>
                </c:pt>
                <c:pt idx="69">
                  <c:v>164.77430555555469</c:v>
                </c:pt>
                <c:pt idx="70">
                  <c:v>167.78125</c:v>
                </c:pt>
                <c:pt idx="71">
                  <c:v>171.03125</c:v>
                </c:pt>
                <c:pt idx="72">
                  <c:v>173.92708333333579</c:v>
                </c:pt>
                <c:pt idx="73">
                  <c:v>175.77430555555469</c:v>
                </c:pt>
                <c:pt idx="74">
                  <c:v>177.78125</c:v>
                </c:pt>
                <c:pt idx="75">
                  <c:v>180.125</c:v>
                </c:pt>
                <c:pt idx="76">
                  <c:v>181.78125</c:v>
                </c:pt>
                <c:pt idx="77">
                  <c:v>183.7673611111168</c:v>
                </c:pt>
                <c:pt idx="78">
                  <c:v>185.77430555555469</c:v>
                </c:pt>
                <c:pt idx="79">
                  <c:v>188.77083333333579</c:v>
                </c:pt>
                <c:pt idx="80">
                  <c:v>193.8923611111168</c:v>
                </c:pt>
                <c:pt idx="81">
                  <c:v>195.77083333333579</c:v>
                </c:pt>
                <c:pt idx="82">
                  <c:v>197.77430555555469</c:v>
                </c:pt>
                <c:pt idx="83">
                  <c:v>199.77777777778101</c:v>
                </c:pt>
              </c:numCache>
            </c:numRef>
          </c:xVal>
          <c:yVal>
            <c:numRef>
              <c:f>'acid-water-inoc - test'!$G$25:$G$117</c:f>
              <c:numCache>
                <c:formatCode>General</c:formatCode>
                <c:ptCount val="84"/>
                <c:pt idx="0">
                  <c:v>2</c:v>
                </c:pt>
                <c:pt idx="1">
                  <c:v>4.4000000000000004</c:v>
                </c:pt>
                <c:pt idx="2">
                  <c:v>6.49</c:v>
                </c:pt>
                <c:pt idx="3">
                  <c:v>6.76</c:v>
                </c:pt>
                <c:pt idx="4">
                  <c:v>7.71</c:v>
                </c:pt>
                <c:pt idx="5">
                  <c:v>7.3199999999999976</c:v>
                </c:pt>
                <c:pt idx="6">
                  <c:v>7.37</c:v>
                </c:pt>
                <c:pt idx="7">
                  <c:v>7.38</c:v>
                </c:pt>
                <c:pt idx="8">
                  <c:v>7.56</c:v>
                </c:pt>
                <c:pt idx="10">
                  <c:v>7.41</c:v>
                </c:pt>
                <c:pt idx="11">
                  <c:v>7.35</c:v>
                </c:pt>
                <c:pt idx="12">
                  <c:v>7.41</c:v>
                </c:pt>
                <c:pt idx="13">
                  <c:v>7.8599999999999977</c:v>
                </c:pt>
                <c:pt idx="14">
                  <c:v>7.35</c:v>
                </c:pt>
                <c:pt idx="15">
                  <c:v>7.29</c:v>
                </c:pt>
                <c:pt idx="16">
                  <c:v>7.48</c:v>
                </c:pt>
                <c:pt idx="17">
                  <c:v>7.22</c:v>
                </c:pt>
                <c:pt idx="18">
                  <c:v>7.3599999999999977</c:v>
                </c:pt>
                <c:pt idx="19">
                  <c:v>7.3599999999999977</c:v>
                </c:pt>
                <c:pt idx="20">
                  <c:v>7.17</c:v>
                </c:pt>
                <c:pt idx="21">
                  <c:v>7.34</c:v>
                </c:pt>
                <c:pt idx="22">
                  <c:v>7.1499999999999986</c:v>
                </c:pt>
                <c:pt idx="23">
                  <c:v>7.26</c:v>
                </c:pt>
                <c:pt idx="24">
                  <c:v>7.1199999999999974</c:v>
                </c:pt>
                <c:pt idx="25">
                  <c:v>7.33</c:v>
                </c:pt>
                <c:pt idx="26">
                  <c:v>7.1099999999999994</c:v>
                </c:pt>
                <c:pt idx="27">
                  <c:v>7.27</c:v>
                </c:pt>
                <c:pt idx="28">
                  <c:v>7.37</c:v>
                </c:pt>
                <c:pt idx="29">
                  <c:v>7.17</c:v>
                </c:pt>
                <c:pt idx="30">
                  <c:v>7.39</c:v>
                </c:pt>
                <c:pt idx="31">
                  <c:v>7.35</c:v>
                </c:pt>
                <c:pt idx="32">
                  <c:v>7.05</c:v>
                </c:pt>
                <c:pt idx="33">
                  <c:v>7.1599999999999966</c:v>
                </c:pt>
                <c:pt idx="34">
                  <c:v>7.13</c:v>
                </c:pt>
                <c:pt idx="35">
                  <c:v>7.02</c:v>
                </c:pt>
                <c:pt idx="36">
                  <c:v>7.1</c:v>
                </c:pt>
                <c:pt idx="37">
                  <c:v>6.85</c:v>
                </c:pt>
                <c:pt idx="38">
                  <c:v>6.5</c:v>
                </c:pt>
                <c:pt idx="39">
                  <c:v>6.73</c:v>
                </c:pt>
                <c:pt idx="40">
                  <c:v>6.3599999999999977</c:v>
                </c:pt>
                <c:pt idx="41">
                  <c:v>6.6099999999999977</c:v>
                </c:pt>
                <c:pt idx="42">
                  <c:v>6.06</c:v>
                </c:pt>
                <c:pt idx="43">
                  <c:v>3.93</c:v>
                </c:pt>
                <c:pt idx="44">
                  <c:v>3.36</c:v>
                </c:pt>
                <c:pt idx="45">
                  <c:v>2.8</c:v>
                </c:pt>
                <c:pt idx="46">
                  <c:v>2.79</c:v>
                </c:pt>
                <c:pt idx="47">
                  <c:v>2.69</c:v>
                </c:pt>
                <c:pt idx="48">
                  <c:v>2.78</c:v>
                </c:pt>
                <c:pt idx="49">
                  <c:v>2.82</c:v>
                </c:pt>
                <c:pt idx="50">
                  <c:v>2.8</c:v>
                </c:pt>
                <c:pt idx="51">
                  <c:v>2.82</c:v>
                </c:pt>
                <c:pt idx="52">
                  <c:v>2.85</c:v>
                </c:pt>
                <c:pt idx="53">
                  <c:v>3</c:v>
                </c:pt>
                <c:pt idx="56">
                  <c:v>2.76</c:v>
                </c:pt>
                <c:pt idx="57">
                  <c:v>2.62</c:v>
                </c:pt>
                <c:pt idx="58">
                  <c:v>2.5</c:v>
                </c:pt>
                <c:pt idx="59">
                  <c:v>2.46</c:v>
                </c:pt>
                <c:pt idx="60">
                  <c:v>2.44</c:v>
                </c:pt>
                <c:pt idx="61">
                  <c:v>2.3199999999999998</c:v>
                </c:pt>
                <c:pt idx="62">
                  <c:v>2.39</c:v>
                </c:pt>
                <c:pt idx="63">
                  <c:v>2.39</c:v>
                </c:pt>
                <c:pt idx="64">
                  <c:v>2.39</c:v>
                </c:pt>
                <c:pt idx="65">
                  <c:v>2.39</c:v>
                </c:pt>
                <c:pt idx="66">
                  <c:v>2.37</c:v>
                </c:pt>
                <c:pt idx="67">
                  <c:v>2.38</c:v>
                </c:pt>
                <c:pt idx="68">
                  <c:v>2.38</c:v>
                </c:pt>
                <c:pt idx="69">
                  <c:v>2.37</c:v>
                </c:pt>
                <c:pt idx="70">
                  <c:v>2.29</c:v>
                </c:pt>
                <c:pt idx="71">
                  <c:v>2.2999999999999998</c:v>
                </c:pt>
                <c:pt idx="72">
                  <c:v>2.2799999999999998</c:v>
                </c:pt>
                <c:pt idx="73">
                  <c:v>2.3199999999999998</c:v>
                </c:pt>
                <c:pt idx="74">
                  <c:v>2.2999999999999998</c:v>
                </c:pt>
                <c:pt idx="75">
                  <c:v>2.31</c:v>
                </c:pt>
                <c:pt idx="76">
                  <c:v>2.3199999999999998</c:v>
                </c:pt>
                <c:pt idx="77">
                  <c:v>2.3199999999999998</c:v>
                </c:pt>
                <c:pt idx="78">
                  <c:v>2.2999999999999998</c:v>
                </c:pt>
                <c:pt idx="79">
                  <c:v>2.31</c:v>
                </c:pt>
                <c:pt idx="80">
                  <c:v>2.31</c:v>
                </c:pt>
                <c:pt idx="81">
                  <c:v>2.3199999999999998</c:v>
                </c:pt>
                <c:pt idx="82">
                  <c:v>2.29</c:v>
                </c:pt>
                <c:pt idx="83">
                  <c:v>2.2599999999999998</c:v>
                </c:pt>
              </c:numCache>
            </c:numRef>
          </c:yVal>
          <c:smooth val="0"/>
        </c:ser>
        <c:dLbls>
          <c:showLegendKey val="0"/>
          <c:showVal val="0"/>
          <c:showCatName val="0"/>
          <c:showSerName val="0"/>
          <c:showPercent val="0"/>
          <c:showBubbleSize val="0"/>
        </c:dLbls>
        <c:axId val="288356464"/>
        <c:axId val="288356856"/>
      </c:scatterChart>
      <c:valAx>
        <c:axId val="288356464"/>
        <c:scaling>
          <c:orientation val="minMax"/>
          <c:max val="250"/>
        </c:scaling>
        <c:delete val="0"/>
        <c:axPos val="b"/>
        <c:title>
          <c:tx>
            <c:rich>
              <a:bodyPr/>
              <a:lstStyle/>
              <a:p>
                <a:pPr>
                  <a:defRPr sz="800"/>
                </a:pPr>
                <a:r>
                  <a:rPr lang="en-US" sz="800"/>
                  <a:t>time [days]</a:t>
                </a:r>
              </a:p>
            </c:rich>
          </c:tx>
          <c:layout>
            <c:manualLayout>
              <c:xMode val="edge"/>
              <c:yMode val="edge"/>
              <c:x val="0.43473148027377101"/>
              <c:y val="0.87616511318242296"/>
            </c:manualLayout>
          </c:layout>
          <c:overlay val="0"/>
        </c:title>
        <c:numFmt formatCode="General" sourceLinked="1"/>
        <c:majorTickMark val="in"/>
        <c:minorTickMark val="in"/>
        <c:tickLblPos val="nextTo"/>
        <c:txPr>
          <a:bodyPr/>
          <a:lstStyle/>
          <a:p>
            <a:pPr>
              <a:defRPr sz="600"/>
            </a:pPr>
            <a:endParaRPr lang="en-US"/>
          </a:p>
        </c:txPr>
        <c:crossAx val="288356856"/>
        <c:crosses val="autoZero"/>
        <c:crossBetween val="midCat"/>
      </c:valAx>
      <c:valAx>
        <c:axId val="288356856"/>
        <c:scaling>
          <c:orientation val="minMax"/>
        </c:scaling>
        <c:delete val="0"/>
        <c:axPos val="l"/>
        <c:title>
          <c:tx>
            <c:rich>
              <a:bodyPr rot="-5400000" vert="horz"/>
              <a:lstStyle/>
              <a:p>
                <a:pPr>
                  <a:defRPr sz="800"/>
                </a:pPr>
                <a:r>
                  <a:rPr lang="en-US" sz="800"/>
                  <a:t>pH</a:t>
                </a:r>
              </a:p>
            </c:rich>
          </c:tx>
          <c:layout>
            <c:manualLayout>
              <c:xMode val="edge"/>
              <c:yMode val="edge"/>
              <c:x val="1.3077593722755E-2"/>
              <c:y val="0.44475659750254298"/>
            </c:manualLayout>
          </c:layout>
          <c:overlay val="0"/>
        </c:title>
        <c:numFmt formatCode="General" sourceLinked="1"/>
        <c:majorTickMark val="in"/>
        <c:minorTickMark val="in"/>
        <c:tickLblPos val="nextTo"/>
        <c:txPr>
          <a:bodyPr/>
          <a:lstStyle/>
          <a:p>
            <a:pPr>
              <a:defRPr sz="600"/>
            </a:pPr>
            <a:endParaRPr lang="en-US"/>
          </a:p>
        </c:txPr>
        <c:crossAx val="288356464"/>
        <c:crosses val="autoZero"/>
        <c:crossBetween val="midCat"/>
      </c:valAx>
      <c:spPr>
        <a:ln>
          <a:solidFill>
            <a:sysClr val="windowText" lastClr="000000"/>
          </a:solidFill>
        </a:ln>
      </c:spPr>
    </c:plotArea>
    <c:plotVisOnly val="1"/>
    <c:dispBlanksAs val="gap"/>
    <c:showDLblsOverMax val="0"/>
  </c:chart>
  <c:spPr>
    <a:ln>
      <a:noFill/>
    </a:ln>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a:lstStyle/>
          <a:p>
            <a:pPr>
              <a:defRPr sz="800"/>
            </a:pPr>
            <a:r>
              <a:rPr lang="en-US" sz="800"/>
              <a:t>(d) cover</a:t>
            </a:r>
          </a:p>
        </c:rich>
      </c:tx>
      <c:layout>
        <c:manualLayout>
          <c:xMode val="edge"/>
          <c:yMode val="edge"/>
          <c:x val="0.43901093718109901"/>
          <c:y val="0"/>
        </c:manualLayout>
      </c:layout>
      <c:overlay val="0"/>
    </c:title>
    <c:autoTitleDeleted val="0"/>
    <c:plotArea>
      <c:layout>
        <c:manualLayout>
          <c:layoutTarget val="inner"/>
          <c:xMode val="edge"/>
          <c:yMode val="edge"/>
          <c:x val="0.125872770586752"/>
          <c:y val="9.9866844207723002E-2"/>
          <c:w val="0.81485926761877503"/>
          <c:h val="0.72308156054394601"/>
        </c:manualLayout>
      </c:layout>
      <c:scatterChart>
        <c:scatterStyle val="lineMarker"/>
        <c:varyColors val="0"/>
        <c:ser>
          <c:idx val="0"/>
          <c:order val="0"/>
          <c:tx>
            <c:v>cover - WATER</c:v>
          </c:tx>
          <c:spPr>
            <a:ln w="47625">
              <a:noFill/>
            </a:ln>
          </c:spPr>
          <c:marker>
            <c:symbol val="diamond"/>
            <c:size val="5"/>
            <c:spPr>
              <a:ln>
                <a:solidFill>
                  <a:srgbClr val="1F497D"/>
                </a:solidFill>
              </a:ln>
            </c:spPr>
          </c:marker>
          <c:xVal>
            <c:numRef>
              <c:f>'water only - test holdup'!$D$20:$D$150</c:f>
              <c:numCache>
                <c:formatCode>0</c:formatCode>
                <c:ptCount val="114"/>
                <c:pt idx="0" formatCode="General">
                  <c:v>0</c:v>
                </c:pt>
                <c:pt idx="1">
                  <c:v>1.0381944444452531</c:v>
                </c:pt>
                <c:pt idx="2">
                  <c:v>2.0173611111094938</c:v>
                </c:pt>
                <c:pt idx="3">
                  <c:v>3.0173611111094938</c:v>
                </c:pt>
                <c:pt idx="4">
                  <c:v>4.0173611111094942</c:v>
                </c:pt>
                <c:pt idx="5">
                  <c:v>5.0590277777810124</c:v>
                </c:pt>
                <c:pt idx="6">
                  <c:v>7.0069444444452511</c:v>
                </c:pt>
                <c:pt idx="7">
                  <c:v>8.0277777777810115</c:v>
                </c:pt>
                <c:pt idx="8">
                  <c:v>9.0868055555547507</c:v>
                </c:pt>
                <c:pt idx="9">
                  <c:v>9.9965277777810098</c:v>
                </c:pt>
                <c:pt idx="10">
                  <c:v>11.003472222226261</c:v>
                </c:pt>
                <c:pt idx="11">
                  <c:v>12.003472222226261</c:v>
                </c:pt>
                <c:pt idx="12">
                  <c:v>14.097222222226261</c:v>
                </c:pt>
                <c:pt idx="13">
                  <c:v>14.96527777778101</c:v>
                </c:pt>
                <c:pt idx="14">
                  <c:v>16.034722222226261</c:v>
                </c:pt>
                <c:pt idx="15">
                  <c:v>16.954861111109501</c:v>
                </c:pt>
                <c:pt idx="16">
                  <c:v>17.954861111109501</c:v>
                </c:pt>
                <c:pt idx="17">
                  <c:v>20.3125</c:v>
                </c:pt>
                <c:pt idx="18">
                  <c:v>22.013888888890499</c:v>
                </c:pt>
                <c:pt idx="19">
                  <c:v>22.954861111109501</c:v>
                </c:pt>
                <c:pt idx="20">
                  <c:v>23.923611111109491</c:v>
                </c:pt>
                <c:pt idx="21">
                  <c:v>24.923611111109491</c:v>
                </c:pt>
                <c:pt idx="22">
                  <c:v>25.90277777778099</c:v>
                </c:pt>
                <c:pt idx="23">
                  <c:v>31.916666666664241</c:v>
                </c:pt>
                <c:pt idx="24">
                  <c:v>35.89930555555474</c:v>
                </c:pt>
                <c:pt idx="25">
                  <c:v>37.038194444445253</c:v>
                </c:pt>
                <c:pt idx="26">
                  <c:v>38.875</c:v>
                </c:pt>
                <c:pt idx="27">
                  <c:v>40.027777777780997</c:v>
                </c:pt>
                <c:pt idx="28">
                  <c:v>42.01041666666422</c:v>
                </c:pt>
                <c:pt idx="29">
                  <c:v>43.916666666664213</c:v>
                </c:pt>
                <c:pt idx="30">
                  <c:v>45.86250000000291</c:v>
                </c:pt>
                <c:pt idx="31">
                  <c:v>47.069444444445253</c:v>
                </c:pt>
                <c:pt idx="32">
                  <c:v>47.881944444445232</c:v>
                </c:pt>
                <c:pt idx="33">
                  <c:v>49.86805555555474</c:v>
                </c:pt>
                <c:pt idx="34">
                  <c:v>52.24305555555474</c:v>
                </c:pt>
                <c:pt idx="35">
                  <c:v>53.111111111109501</c:v>
                </c:pt>
                <c:pt idx="36">
                  <c:v>55.96875</c:v>
                </c:pt>
                <c:pt idx="37">
                  <c:v>58.069444444445253</c:v>
                </c:pt>
                <c:pt idx="38">
                  <c:v>58.944444444445232</c:v>
                </c:pt>
                <c:pt idx="39">
                  <c:v>60.861111111109501</c:v>
                </c:pt>
                <c:pt idx="40">
                  <c:v>63.045138888890499</c:v>
                </c:pt>
                <c:pt idx="41">
                  <c:v>64.871527777780983</c:v>
                </c:pt>
                <c:pt idx="42">
                  <c:v>66.86111111110948</c:v>
                </c:pt>
                <c:pt idx="43">
                  <c:v>68.95486111110948</c:v>
                </c:pt>
                <c:pt idx="44">
                  <c:v>71.04861111110948</c:v>
                </c:pt>
                <c:pt idx="45">
                  <c:v>74.86111111110948</c:v>
                </c:pt>
                <c:pt idx="46">
                  <c:v>77.03472222222625</c:v>
                </c:pt>
                <c:pt idx="47">
                  <c:v>78.871527777780983</c:v>
                </c:pt>
                <c:pt idx="48">
                  <c:v>80.871527777780983</c:v>
                </c:pt>
                <c:pt idx="49">
                  <c:v>84.874999999999986</c:v>
                </c:pt>
                <c:pt idx="50">
                  <c:v>87.100694444445267</c:v>
                </c:pt>
                <c:pt idx="51">
                  <c:v>88.868055555554704</c:v>
                </c:pt>
                <c:pt idx="52">
                  <c:v>90.996527777781012</c:v>
                </c:pt>
                <c:pt idx="53">
                  <c:v>92.86111111110948</c:v>
                </c:pt>
                <c:pt idx="54">
                  <c:v>94.86111111110948</c:v>
                </c:pt>
                <c:pt idx="55">
                  <c:v>96.934027777781012</c:v>
                </c:pt>
                <c:pt idx="56">
                  <c:v>98.888888888890463</c:v>
                </c:pt>
                <c:pt idx="57">
                  <c:v>100.9479166666642</c:v>
                </c:pt>
                <c:pt idx="58">
                  <c:v>102.86111111110949</c:v>
                </c:pt>
                <c:pt idx="59">
                  <c:v>104.9618055555547</c:v>
                </c:pt>
                <c:pt idx="60">
                  <c:v>107.0416666666642</c:v>
                </c:pt>
                <c:pt idx="61">
                  <c:v>108.8645833333358</c:v>
                </c:pt>
                <c:pt idx="62">
                  <c:v>110.996527777781</c:v>
                </c:pt>
                <c:pt idx="63">
                  <c:v>112.86111111110949</c:v>
                </c:pt>
                <c:pt idx="64">
                  <c:v>114.86111111110949</c:v>
                </c:pt>
                <c:pt idx="65">
                  <c:v>118.98611111110949</c:v>
                </c:pt>
                <c:pt idx="66">
                  <c:v>120.86111111110949</c:v>
                </c:pt>
                <c:pt idx="67">
                  <c:v>122.86111111110949</c:v>
                </c:pt>
                <c:pt idx="68">
                  <c:v>126.8645833333358</c:v>
                </c:pt>
                <c:pt idx="69">
                  <c:v>128.85763888889051</c:v>
                </c:pt>
                <c:pt idx="70">
                  <c:v>133.02777777778101</c:v>
                </c:pt>
                <c:pt idx="71">
                  <c:v>135.11805555555469</c:v>
                </c:pt>
                <c:pt idx="72">
                  <c:v>136.86458333333579</c:v>
                </c:pt>
                <c:pt idx="73">
                  <c:v>140.88194444444531</c:v>
                </c:pt>
                <c:pt idx="74">
                  <c:v>142.86458333333579</c:v>
                </c:pt>
                <c:pt idx="75">
                  <c:v>153.00347222222629</c:v>
                </c:pt>
                <c:pt idx="76">
                  <c:v>157.85416666666421</c:v>
                </c:pt>
                <c:pt idx="77">
                  <c:v>160.01736111110949</c:v>
                </c:pt>
                <c:pt idx="78">
                  <c:v>161.85763888889051</c:v>
                </c:pt>
                <c:pt idx="79">
                  <c:v>168.02430555555469</c:v>
                </c:pt>
                <c:pt idx="80">
                  <c:v>169.86111111110949</c:v>
                </c:pt>
                <c:pt idx="81">
                  <c:v>173.98263888889051</c:v>
                </c:pt>
                <c:pt idx="82">
                  <c:v>175.85763888889051</c:v>
                </c:pt>
                <c:pt idx="83">
                  <c:v>177.97222222222629</c:v>
                </c:pt>
                <c:pt idx="84">
                  <c:v>179.86111111110949</c:v>
                </c:pt>
                <c:pt idx="85">
                  <c:v>181.97569444444531</c:v>
                </c:pt>
                <c:pt idx="86">
                  <c:v>183.86111111110949</c:v>
                </c:pt>
                <c:pt idx="87">
                  <c:v>185.86111111110949</c:v>
                </c:pt>
                <c:pt idx="88">
                  <c:v>187.99652777778101</c:v>
                </c:pt>
                <c:pt idx="89">
                  <c:v>189.85416666666421</c:v>
                </c:pt>
                <c:pt idx="90">
                  <c:v>196.86111111110949</c:v>
                </c:pt>
                <c:pt idx="91">
                  <c:v>198.85416666666421</c:v>
                </c:pt>
                <c:pt idx="92">
                  <c:v>200.84722222222629</c:v>
                </c:pt>
                <c:pt idx="93">
                  <c:v>203.84722222222629</c:v>
                </c:pt>
                <c:pt idx="94">
                  <c:v>205.85416666666421</c:v>
                </c:pt>
                <c:pt idx="95">
                  <c:v>207.85763888889051</c:v>
                </c:pt>
                <c:pt idx="96">
                  <c:v>210.85069444444531</c:v>
                </c:pt>
                <c:pt idx="97">
                  <c:v>212.85763888889051</c:v>
                </c:pt>
                <c:pt idx="98">
                  <c:v>214.85416666666421</c:v>
                </c:pt>
                <c:pt idx="99">
                  <c:v>217.86111111110949</c:v>
                </c:pt>
                <c:pt idx="100">
                  <c:v>221.11111111110949</c:v>
                </c:pt>
                <c:pt idx="101">
                  <c:v>224.00694444444531</c:v>
                </c:pt>
                <c:pt idx="102">
                  <c:v>225.85416666666421</c:v>
                </c:pt>
                <c:pt idx="103">
                  <c:v>227.86111111110949</c:v>
                </c:pt>
                <c:pt idx="104">
                  <c:v>230.20486111110949</c:v>
                </c:pt>
                <c:pt idx="105">
                  <c:v>231.86111111110949</c:v>
                </c:pt>
                <c:pt idx="106">
                  <c:v>233.84722222222629</c:v>
                </c:pt>
                <c:pt idx="107">
                  <c:v>235.85416666666421</c:v>
                </c:pt>
                <c:pt idx="108">
                  <c:v>238.85069444444531</c:v>
                </c:pt>
                <c:pt idx="109">
                  <c:v>241.85416666666421</c:v>
                </c:pt>
                <c:pt idx="110">
                  <c:v>243.97222222222629</c:v>
                </c:pt>
                <c:pt idx="111">
                  <c:v>245.85069444444531</c:v>
                </c:pt>
                <c:pt idx="112">
                  <c:v>247.85416666666421</c:v>
                </c:pt>
                <c:pt idx="113">
                  <c:v>249.85763888889051</c:v>
                </c:pt>
              </c:numCache>
            </c:numRef>
          </c:xVal>
          <c:yVal>
            <c:numRef>
              <c:f>'water only - test holdup'!$K$20:$K$150</c:f>
              <c:numCache>
                <c:formatCode>General</c:formatCode>
                <c:ptCount val="114"/>
                <c:pt idx="9">
                  <c:v>233</c:v>
                </c:pt>
                <c:pt idx="10">
                  <c:v>270</c:v>
                </c:pt>
                <c:pt idx="11">
                  <c:v>246</c:v>
                </c:pt>
                <c:pt idx="12">
                  <c:v>246</c:v>
                </c:pt>
                <c:pt idx="13">
                  <c:v>262</c:v>
                </c:pt>
                <c:pt idx="14">
                  <c:v>259</c:v>
                </c:pt>
                <c:pt idx="15">
                  <c:v>249</c:v>
                </c:pt>
                <c:pt idx="16">
                  <c:v>250</c:v>
                </c:pt>
                <c:pt idx="17">
                  <c:v>245</c:v>
                </c:pt>
                <c:pt idx="18">
                  <c:v>217</c:v>
                </c:pt>
                <c:pt idx="19">
                  <c:v>211</c:v>
                </c:pt>
                <c:pt idx="20">
                  <c:v>260</c:v>
                </c:pt>
                <c:pt idx="21">
                  <c:v>270</c:v>
                </c:pt>
                <c:pt idx="22">
                  <c:v>268</c:v>
                </c:pt>
                <c:pt idx="23">
                  <c:v>230</c:v>
                </c:pt>
                <c:pt idx="24">
                  <c:v>276</c:v>
                </c:pt>
                <c:pt idx="25">
                  <c:v>225</c:v>
                </c:pt>
                <c:pt idx="26">
                  <c:v>301</c:v>
                </c:pt>
                <c:pt idx="27">
                  <c:v>261</c:v>
                </c:pt>
                <c:pt idx="28">
                  <c:v>253</c:v>
                </c:pt>
                <c:pt idx="29">
                  <c:v>265</c:v>
                </c:pt>
                <c:pt idx="30">
                  <c:v>283</c:v>
                </c:pt>
                <c:pt idx="31">
                  <c:v>267</c:v>
                </c:pt>
                <c:pt idx="32">
                  <c:v>253</c:v>
                </c:pt>
                <c:pt idx="33">
                  <c:v>227</c:v>
                </c:pt>
                <c:pt idx="34">
                  <c:v>227</c:v>
                </c:pt>
                <c:pt idx="35">
                  <c:v>263</c:v>
                </c:pt>
                <c:pt idx="36">
                  <c:v>252</c:v>
                </c:pt>
                <c:pt idx="37">
                  <c:v>222</c:v>
                </c:pt>
                <c:pt idx="38">
                  <c:v>257</c:v>
                </c:pt>
                <c:pt idx="39">
                  <c:v>264</c:v>
                </c:pt>
                <c:pt idx="41">
                  <c:v>298</c:v>
                </c:pt>
                <c:pt idx="42">
                  <c:v>202</c:v>
                </c:pt>
                <c:pt idx="43">
                  <c:v>232</c:v>
                </c:pt>
                <c:pt idx="44">
                  <c:v>158</c:v>
                </c:pt>
                <c:pt idx="45">
                  <c:v>203</c:v>
                </c:pt>
                <c:pt idx="46">
                  <c:v>216</c:v>
                </c:pt>
                <c:pt idx="47">
                  <c:v>214</c:v>
                </c:pt>
                <c:pt idx="48">
                  <c:v>199</c:v>
                </c:pt>
                <c:pt idx="49">
                  <c:v>209</c:v>
                </c:pt>
                <c:pt idx="50">
                  <c:v>304</c:v>
                </c:pt>
                <c:pt idx="51">
                  <c:v>234</c:v>
                </c:pt>
                <c:pt idx="52">
                  <c:v>224</c:v>
                </c:pt>
                <c:pt idx="53">
                  <c:v>230</c:v>
                </c:pt>
                <c:pt idx="54">
                  <c:v>219</c:v>
                </c:pt>
                <c:pt idx="55">
                  <c:v>211</c:v>
                </c:pt>
                <c:pt idx="56">
                  <c:v>255</c:v>
                </c:pt>
                <c:pt idx="57">
                  <c:v>233</c:v>
                </c:pt>
                <c:pt idx="58">
                  <c:v>202</c:v>
                </c:pt>
                <c:pt idx="59">
                  <c:v>223</c:v>
                </c:pt>
                <c:pt idx="60">
                  <c:v>242</c:v>
                </c:pt>
                <c:pt idx="61">
                  <c:v>235</c:v>
                </c:pt>
                <c:pt idx="62">
                  <c:v>241</c:v>
                </c:pt>
                <c:pt idx="63">
                  <c:v>243</c:v>
                </c:pt>
                <c:pt idx="64">
                  <c:v>253</c:v>
                </c:pt>
                <c:pt idx="65">
                  <c:v>247</c:v>
                </c:pt>
                <c:pt idx="66">
                  <c:v>251</c:v>
                </c:pt>
                <c:pt idx="67">
                  <c:v>233</c:v>
                </c:pt>
                <c:pt idx="68">
                  <c:v>268</c:v>
                </c:pt>
                <c:pt idx="69">
                  <c:v>248</c:v>
                </c:pt>
                <c:pt idx="70">
                  <c:v>247</c:v>
                </c:pt>
                <c:pt idx="71">
                  <c:v>253</c:v>
                </c:pt>
                <c:pt idx="72">
                  <c:v>253</c:v>
                </c:pt>
                <c:pt idx="73">
                  <c:v>286</c:v>
                </c:pt>
                <c:pt idx="74">
                  <c:v>249</c:v>
                </c:pt>
                <c:pt idx="75">
                  <c:v>269</c:v>
                </c:pt>
                <c:pt idx="76">
                  <c:v>259</c:v>
                </c:pt>
                <c:pt idx="77">
                  <c:v>279</c:v>
                </c:pt>
                <c:pt idx="78">
                  <c:v>286</c:v>
                </c:pt>
                <c:pt idx="79">
                  <c:v>263</c:v>
                </c:pt>
                <c:pt idx="80">
                  <c:v>258</c:v>
                </c:pt>
                <c:pt idx="81">
                  <c:v>259</c:v>
                </c:pt>
                <c:pt idx="82">
                  <c:v>278</c:v>
                </c:pt>
                <c:pt idx="85">
                  <c:v>280</c:v>
                </c:pt>
                <c:pt idx="86">
                  <c:v>266</c:v>
                </c:pt>
                <c:pt idx="87">
                  <c:v>266</c:v>
                </c:pt>
                <c:pt idx="88">
                  <c:v>268</c:v>
                </c:pt>
                <c:pt idx="89">
                  <c:v>269</c:v>
                </c:pt>
                <c:pt idx="90">
                  <c:v>260</c:v>
                </c:pt>
                <c:pt idx="91">
                  <c:v>258</c:v>
                </c:pt>
                <c:pt idx="92">
                  <c:v>259</c:v>
                </c:pt>
                <c:pt idx="93">
                  <c:v>265</c:v>
                </c:pt>
                <c:pt idx="94">
                  <c:v>260</c:v>
                </c:pt>
                <c:pt idx="95">
                  <c:v>260</c:v>
                </c:pt>
                <c:pt idx="96">
                  <c:v>275</c:v>
                </c:pt>
                <c:pt idx="97">
                  <c:v>294</c:v>
                </c:pt>
                <c:pt idx="98">
                  <c:v>291</c:v>
                </c:pt>
                <c:pt idx="99">
                  <c:v>245</c:v>
                </c:pt>
                <c:pt idx="100">
                  <c:v>260</c:v>
                </c:pt>
                <c:pt idx="103">
                  <c:v>250</c:v>
                </c:pt>
                <c:pt idx="104">
                  <c:v>252</c:v>
                </c:pt>
                <c:pt idx="112">
                  <c:v>252</c:v>
                </c:pt>
                <c:pt idx="113">
                  <c:v>259</c:v>
                </c:pt>
              </c:numCache>
            </c:numRef>
          </c:yVal>
          <c:smooth val="0"/>
        </c:ser>
        <c:ser>
          <c:idx val="2"/>
          <c:order val="1"/>
          <c:tx>
            <c:v>cover - ABIOTIC</c:v>
          </c:tx>
          <c:spPr>
            <a:ln w="47625">
              <a:noFill/>
            </a:ln>
          </c:spPr>
          <c:marker>
            <c:symbol val="square"/>
            <c:size val="5"/>
            <c:spPr>
              <a:solidFill>
                <a:schemeClr val="accent5">
                  <a:lumMod val="75000"/>
                </a:schemeClr>
              </a:solidFill>
              <a:ln>
                <a:solidFill>
                  <a:schemeClr val="accent5">
                    <a:lumMod val="50000"/>
                  </a:schemeClr>
                </a:solidFill>
              </a:ln>
            </c:spPr>
          </c:marker>
          <c:xVal>
            <c:numRef>
              <c:f>'acid-water only - test'!$D$24:$D$116</c:f>
              <c:numCache>
                <c:formatCode>0</c:formatCode>
                <c:ptCount val="81"/>
                <c:pt idx="0" formatCode="General">
                  <c:v>0</c:v>
                </c:pt>
                <c:pt idx="1">
                  <c:v>1.138888888890506</c:v>
                </c:pt>
                <c:pt idx="2">
                  <c:v>2.163194444445252</c:v>
                </c:pt>
                <c:pt idx="3">
                  <c:v>3.03125</c:v>
                </c:pt>
                <c:pt idx="4">
                  <c:v>4.1736111111167702</c:v>
                </c:pt>
                <c:pt idx="5">
                  <c:v>5.8888888888905058</c:v>
                </c:pt>
                <c:pt idx="6">
                  <c:v>7.9895833333357587</c:v>
                </c:pt>
                <c:pt idx="7">
                  <c:v>8.8645833333357604</c:v>
                </c:pt>
                <c:pt idx="8">
                  <c:v>10.78125</c:v>
                </c:pt>
                <c:pt idx="9">
                  <c:v>12.96527777778101</c:v>
                </c:pt>
                <c:pt idx="10">
                  <c:v>14.791666666671521</c:v>
                </c:pt>
                <c:pt idx="11">
                  <c:v>16.78125</c:v>
                </c:pt>
                <c:pt idx="12">
                  <c:v>18.875</c:v>
                </c:pt>
                <c:pt idx="13">
                  <c:v>20.96875</c:v>
                </c:pt>
                <c:pt idx="14">
                  <c:v>22.868055555554751</c:v>
                </c:pt>
                <c:pt idx="15">
                  <c:v>24.78125</c:v>
                </c:pt>
                <c:pt idx="16">
                  <c:v>26.95486111111677</c:v>
                </c:pt>
                <c:pt idx="17">
                  <c:v>28.791666666671521</c:v>
                </c:pt>
                <c:pt idx="18">
                  <c:v>30.791666666671521</c:v>
                </c:pt>
                <c:pt idx="19">
                  <c:v>37.020833333335752</c:v>
                </c:pt>
                <c:pt idx="20">
                  <c:v>38.788194444445253</c:v>
                </c:pt>
                <c:pt idx="21">
                  <c:v>40.916666666671503</c:v>
                </c:pt>
                <c:pt idx="22">
                  <c:v>42.78125</c:v>
                </c:pt>
                <c:pt idx="23">
                  <c:v>44.78125</c:v>
                </c:pt>
                <c:pt idx="24">
                  <c:v>46.854166666671503</c:v>
                </c:pt>
                <c:pt idx="25">
                  <c:v>52.78125</c:v>
                </c:pt>
                <c:pt idx="26">
                  <c:v>54.881944444445232</c:v>
                </c:pt>
                <c:pt idx="27">
                  <c:v>56.961805555554747</c:v>
                </c:pt>
                <c:pt idx="28">
                  <c:v>60.916666666671503</c:v>
                </c:pt>
                <c:pt idx="29">
                  <c:v>62.78125</c:v>
                </c:pt>
                <c:pt idx="30">
                  <c:v>64.78125</c:v>
                </c:pt>
                <c:pt idx="31">
                  <c:v>68.90625</c:v>
                </c:pt>
                <c:pt idx="32">
                  <c:v>70.78125</c:v>
                </c:pt>
                <c:pt idx="33">
                  <c:v>72.78125</c:v>
                </c:pt>
                <c:pt idx="34">
                  <c:v>76.78472222222625</c:v>
                </c:pt>
                <c:pt idx="35">
                  <c:v>78.777777777780955</c:v>
                </c:pt>
                <c:pt idx="36">
                  <c:v>82.947916666671503</c:v>
                </c:pt>
                <c:pt idx="37">
                  <c:v>85.038194444445267</c:v>
                </c:pt>
                <c:pt idx="38">
                  <c:v>86.78472222222625</c:v>
                </c:pt>
                <c:pt idx="39">
                  <c:v>90.80208333333573</c:v>
                </c:pt>
                <c:pt idx="40">
                  <c:v>92.78472222222625</c:v>
                </c:pt>
                <c:pt idx="41">
                  <c:v>100.79513888889051</c:v>
                </c:pt>
                <c:pt idx="42">
                  <c:v>102.9236111111168</c:v>
                </c:pt>
                <c:pt idx="43">
                  <c:v>107.7743055555547</c:v>
                </c:pt>
                <c:pt idx="44">
                  <c:v>109.9375</c:v>
                </c:pt>
                <c:pt idx="45">
                  <c:v>111.777777777781</c:v>
                </c:pt>
                <c:pt idx="46">
                  <c:v>117.9444444444453</c:v>
                </c:pt>
                <c:pt idx="47">
                  <c:v>119.78125</c:v>
                </c:pt>
                <c:pt idx="48">
                  <c:v>121.777777777781</c:v>
                </c:pt>
                <c:pt idx="49">
                  <c:v>123.902777777781</c:v>
                </c:pt>
                <c:pt idx="50">
                  <c:v>125.777777777781</c:v>
                </c:pt>
                <c:pt idx="51">
                  <c:v>127.8923611111168</c:v>
                </c:pt>
                <c:pt idx="52">
                  <c:v>129.78125</c:v>
                </c:pt>
                <c:pt idx="53">
                  <c:v>131.89583333333579</c:v>
                </c:pt>
                <c:pt idx="54">
                  <c:v>133.78125</c:v>
                </c:pt>
                <c:pt idx="55">
                  <c:v>135.78125</c:v>
                </c:pt>
                <c:pt idx="56">
                  <c:v>139.77430555555469</c:v>
                </c:pt>
                <c:pt idx="57">
                  <c:v>146.78125</c:v>
                </c:pt>
                <c:pt idx="58">
                  <c:v>148.77430555555469</c:v>
                </c:pt>
                <c:pt idx="59">
                  <c:v>150.7673611111168</c:v>
                </c:pt>
                <c:pt idx="60">
                  <c:v>153.7673611111168</c:v>
                </c:pt>
                <c:pt idx="61">
                  <c:v>155.77430555555469</c:v>
                </c:pt>
                <c:pt idx="62">
                  <c:v>157.77777777778101</c:v>
                </c:pt>
                <c:pt idx="63">
                  <c:v>160.77083333333579</c:v>
                </c:pt>
                <c:pt idx="64">
                  <c:v>162.77777777778101</c:v>
                </c:pt>
                <c:pt idx="65">
                  <c:v>164.77430555555469</c:v>
                </c:pt>
                <c:pt idx="66">
                  <c:v>167.48958333333579</c:v>
                </c:pt>
                <c:pt idx="67">
                  <c:v>171.03125</c:v>
                </c:pt>
                <c:pt idx="68">
                  <c:v>173.92708333333579</c:v>
                </c:pt>
                <c:pt idx="69">
                  <c:v>175.77430555555469</c:v>
                </c:pt>
                <c:pt idx="70">
                  <c:v>177.78125</c:v>
                </c:pt>
                <c:pt idx="71">
                  <c:v>180.125</c:v>
                </c:pt>
                <c:pt idx="72">
                  <c:v>181.78125</c:v>
                </c:pt>
                <c:pt idx="73">
                  <c:v>183.7673611111168</c:v>
                </c:pt>
                <c:pt idx="74">
                  <c:v>185.77430555555469</c:v>
                </c:pt>
                <c:pt idx="75">
                  <c:v>188.77083333333579</c:v>
                </c:pt>
                <c:pt idx="76">
                  <c:v>191.77430555555469</c:v>
                </c:pt>
                <c:pt idx="77">
                  <c:v>193.8923611111168</c:v>
                </c:pt>
                <c:pt idx="78">
                  <c:v>195.77083333333579</c:v>
                </c:pt>
                <c:pt idx="79">
                  <c:v>197.77430555555469</c:v>
                </c:pt>
                <c:pt idx="80">
                  <c:v>199.77777777778101</c:v>
                </c:pt>
              </c:numCache>
            </c:numRef>
          </c:xVal>
          <c:yVal>
            <c:numRef>
              <c:f>'acid-water only - test'!$K$24:$K$116</c:f>
              <c:numCache>
                <c:formatCode>General</c:formatCode>
                <c:ptCount val="81"/>
                <c:pt idx="2">
                  <c:v>189</c:v>
                </c:pt>
                <c:pt idx="3">
                  <c:v>224</c:v>
                </c:pt>
                <c:pt idx="4">
                  <c:v>242</c:v>
                </c:pt>
                <c:pt idx="5">
                  <c:v>269</c:v>
                </c:pt>
                <c:pt idx="6">
                  <c:v>268</c:v>
                </c:pt>
                <c:pt idx="7">
                  <c:v>251</c:v>
                </c:pt>
                <c:pt idx="8">
                  <c:v>285</c:v>
                </c:pt>
                <c:pt idx="10">
                  <c:v>317</c:v>
                </c:pt>
                <c:pt idx="11">
                  <c:v>233</c:v>
                </c:pt>
                <c:pt idx="12">
                  <c:v>231</c:v>
                </c:pt>
                <c:pt idx="13">
                  <c:v>256</c:v>
                </c:pt>
                <c:pt idx="14">
                  <c:v>243</c:v>
                </c:pt>
                <c:pt idx="15">
                  <c:v>230</c:v>
                </c:pt>
                <c:pt idx="16">
                  <c:v>258</c:v>
                </c:pt>
                <c:pt idx="17">
                  <c:v>242</c:v>
                </c:pt>
                <c:pt idx="18">
                  <c:v>223</c:v>
                </c:pt>
                <c:pt idx="19">
                  <c:v>248</c:v>
                </c:pt>
                <c:pt idx="20">
                  <c:v>230</c:v>
                </c:pt>
                <c:pt idx="21">
                  <c:v>218</c:v>
                </c:pt>
                <c:pt idx="22">
                  <c:v>246</c:v>
                </c:pt>
                <c:pt idx="23">
                  <c:v>225</c:v>
                </c:pt>
                <c:pt idx="24">
                  <c:v>226</c:v>
                </c:pt>
                <c:pt idx="25">
                  <c:v>202</c:v>
                </c:pt>
                <c:pt idx="26">
                  <c:v>215</c:v>
                </c:pt>
                <c:pt idx="27">
                  <c:v>246</c:v>
                </c:pt>
                <c:pt idx="28">
                  <c:v>242</c:v>
                </c:pt>
                <c:pt idx="29">
                  <c:v>239</c:v>
                </c:pt>
                <c:pt idx="30">
                  <c:v>237</c:v>
                </c:pt>
                <c:pt idx="31">
                  <c:v>269</c:v>
                </c:pt>
                <c:pt idx="32">
                  <c:v>260</c:v>
                </c:pt>
                <c:pt idx="33">
                  <c:v>243</c:v>
                </c:pt>
                <c:pt idx="34">
                  <c:v>257</c:v>
                </c:pt>
                <c:pt idx="35">
                  <c:v>249</c:v>
                </c:pt>
                <c:pt idx="36">
                  <c:v>252</c:v>
                </c:pt>
                <c:pt idx="37">
                  <c:v>230</c:v>
                </c:pt>
                <c:pt idx="38">
                  <c:v>245</c:v>
                </c:pt>
                <c:pt idx="39">
                  <c:v>261</c:v>
                </c:pt>
                <c:pt idx="40">
                  <c:v>244</c:v>
                </c:pt>
                <c:pt idx="41">
                  <c:v>232</c:v>
                </c:pt>
                <c:pt idx="42">
                  <c:v>237</c:v>
                </c:pt>
                <c:pt idx="43">
                  <c:v>254</c:v>
                </c:pt>
                <c:pt idx="45">
                  <c:v>276</c:v>
                </c:pt>
                <c:pt idx="46">
                  <c:v>265</c:v>
                </c:pt>
                <c:pt idx="49">
                  <c:v>246</c:v>
                </c:pt>
                <c:pt idx="50">
                  <c:v>249</c:v>
                </c:pt>
                <c:pt idx="53">
                  <c:v>223</c:v>
                </c:pt>
                <c:pt idx="54">
                  <c:v>231</c:v>
                </c:pt>
                <c:pt idx="55">
                  <c:v>238</c:v>
                </c:pt>
                <c:pt idx="59">
                  <c:v>232</c:v>
                </c:pt>
              </c:numCache>
            </c:numRef>
          </c:yVal>
          <c:smooth val="0"/>
        </c:ser>
        <c:ser>
          <c:idx val="3"/>
          <c:order val="2"/>
          <c:tx>
            <c:v>cover - BIOTIC</c:v>
          </c:tx>
          <c:spPr>
            <a:ln w="47625">
              <a:noFill/>
            </a:ln>
          </c:spPr>
          <c:marker>
            <c:symbol val="circle"/>
            <c:size val="5"/>
            <c:spPr>
              <a:solidFill>
                <a:schemeClr val="accent6">
                  <a:lumMod val="60000"/>
                  <a:lumOff val="40000"/>
                </a:schemeClr>
              </a:solidFill>
              <a:ln>
                <a:solidFill>
                  <a:schemeClr val="accent6"/>
                </a:solidFill>
              </a:ln>
            </c:spPr>
          </c:marker>
          <c:xVal>
            <c:numRef>
              <c:f>'acid-water-inoc - test'!$D$25:$D$117</c:f>
              <c:numCache>
                <c:formatCode>0</c:formatCode>
                <c:ptCount val="84"/>
                <c:pt idx="0" formatCode="General">
                  <c:v>0</c:v>
                </c:pt>
                <c:pt idx="1">
                  <c:v>1.138888888890506</c:v>
                </c:pt>
                <c:pt idx="2">
                  <c:v>2.163194444445252</c:v>
                </c:pt>
                <c:pt idx="3">
                  <c:v>3.03125</c:v>
                </c:pt>
                <c:pt idx="4">
                  <c:v>4.1736111111167702</c:v>
                </c:pt>
                <c:pt idx="5">
                  <c:v>5.8888888888905058</c:v>
                </c:pt>
                <c:pt idx="6">
                  <c:v>7.9895833333357587</c:v>
                </c:pt>
                <c:pt idx="7">
                  <c:v>8.8645833333357604</c:v>
                </c:pt>
                <c:pt idx="8">
                  <c:v>10.78125</c:v>
                </c:pt>
                <c:pt idx="9">
                  <c:v>12.96527777778101</c:v>
                </c:pt>
                <c:pt idx="10">
                  <c:v>14.791666666671521</c:v>
                </c:pt>
                <c:pt idx="11">
                  <c:v>16.78125</c:v>
                </c:pt>
                <c:pt idx="12">
                  <c:v>18.875</c:v>
                </c:pt>
                <c:pt idx="13">
                  <c:v>20.96875</c:v>
                </c:pt>
                <c:pt idx="14">
                  <c:v>22.868055555554751</c:v>
                </c:pt>
                <c:pt idx="15">
                  <c:v>24.78125</c:v>
                </c:pt>
                <c:pt idx="16">
                  <c:v>26.95486111111677</c:v>
                </c:pt>
                <c:pt idx="17">
                  <c:v>28.791666666671521</c:v>
                </c:pt>
                <c:pt idx="18">
                  <c:v>30.791666666671521</c:v>
                </c:pt>
                <c:pt idx="19">
                  <c:v>32.90625</c:v>
                </c:pt>
                <c:pt idx="20">
                  <c:v>34.795138888890499</c:v>
                </c:pt>
                <c:pt idx="21">
                  <c:v>37.020833333335752</c:v>
                </c:pt>
                <c:pt idx="22">
                  <c:v>38.788194444445253</c:v>
                </c:pt>
                <c:pt idx="23">
                  <c:v>40.916666666671503</c:v>
                </c:pt>
                <c:pt idx="24">
                  <c:v>42.78125</c:v>
                </c:pt>
                <c:pt idx="25">
                  <c:v>44.78125</c:v>
                </c:pt>
                <c:pt idx="26">
                  <c:v>46.854166666671503</c:v>
                </c:pt>
                <c:pt idx="27">
                  <c:v>48.80902777778099</c:v>
                </c:pt>
                <c:pt idx="28">
                  <c:v>50.86805555555474</c:v>
                </c:pt>
                <c:pt idx="29">
                  <c:v>54.881944444445232</c:v>
                </c:pt>
                <c:pt idx="30">
                  <c:v>56.961805555554747</c:v>
                </c:pt>
                <c:pt idx="31">
                  <c:v>58.784722222226257</c:v>
                </c:pt>
                <c:pt idx="32">
                  <c:v>60.916666666671503</c:v>
                </c:pt>
                <c:pt idx="33">
                  <c:v>62.78125</c:v>
                </c:pt>
                <c:pt idx="34">
                  <c:v>64.78125</c:v>
                </c:pt>
                <c:pt idx="35">
                  <c:v>68.90625</c:v>
                </c:pt>
                <c:pt idx="36">
                  <c:v>70.78125</c:v>
                </c:pt>
                <c:pt idx="37">
                  <c:v>72.78125</c:v>
                </c:pt>
                <c:pt idx="38">
                  <c:v>76.78472222222625</c:v>
                </c:pt>
                <c:pt idx="39">
                  <c:v>78.777777777780955</c:v>
                </c:pt>
                <c:pt idx="40">
                  <c:v>82.947916666671503</c:v>
                </c:pt>
                <c:pt idx="41">
                  <c:v>85.038194444445267</c:v>
                </c:pt>
                <c:pt idx="42">
                  <c:v>86.78472222222625</c:v>
                </c:pt>
                <c:pt idx="43">
                  <c:v>90.80208333333573</c:v>
                </c:pt>
                <c:pt idx="44">
                  <c:v>92.78472222222625</c:v>
                </c:pt>
                <c:pt idx="45">
                  <c:v>100.79513888889051</c:v>
                </c:pt>
                <c:pt idx="46">
                  <c:v>102.9236111111168</c:v>
                </c:pt>
                <c:pt idx="47">
                  <c:v>105.7881944444453</c:v>
                </c:pt>
                <c:pt idx="48">
                  <c:v>107.7743055555547</c:v>
                </c:pt>
                <c:pt idx="49">
                  <c:v>109.9375</c:v>
                </c:pt>
                <c:pt idx="50">
                  <c:v>119.78125</c:v>
                </c:pt>
                <c:pt idx="51">
                  <c:v>121.777777777781</c:v>
                </c:pt>
                <c:pt idx="52">
                  <c:v>123.902777777781</c:v>
                </c:pt>
                <c:pt idx="53">
                  <c:v>125.777777777781</c:v>
                </c:pt>
                <c:pt idx="54">
                  <c:v>127.8923611111168</c:v>
                </c:pt>
                <c:pt idx="55">
                  <c:v>129.78125</c:v>
                </c:pt>
                <c:pt idx="56">
                  <c:v>131.89583333333579</c:v>
                </c:pt>
                <c:pt idx="57">
                  <c:v>133.48958333333579</c:v>
                </c:pt>
                <c:pt idx="58">
                  <c:v>135.78125</c:v>
                </c:pt>
                <c:pt idx="59">
                  <c:v>137.91666666667149</c:v>
                </c:pt>
                <c:pt idx="60">
                  <c:v>139.77430555555469</c:v>
                </c:pt>
                <c:pt idx="61">
                  <c:v>146.78125</c:v>
                </c:pt>
                <c:pt idx="62">
                  <c:v>148.77430555555469</c:v>
                </c:pt>
                <c:pt idx="63">
                  <c:v>150.7673611111168</c:v>
                </c:pt>
                <c:pt idx="64">
                  <c:v>153.7673611111168</c:v>
                </c:pt>
                <c:pt idx="65">
                  <c:v>155.77430555555469</c:v>
                </c:pt>
                <c:pt idx="66">
                  <c:v>157.77777777778101</c:v>
                </c:pt>
                <c:pt idx="67">
                  <c:v>160.77083333333579</c:v>
                </c:pt>
                <c:pt idx="68">
                  <c:v>162.77777777778101</c:v>
                </c:pt>
                <c:pt idx="69">
                  <c:v>164.77430555555469</c:v>
                </c:pt>
                <c:pt idx="70">
                  <c:v>167.78125</c:v>
                </c:pt>
                <c:pt idx="71">
                  <c:v>171.03125</c:v>
                </c:pt>
                <c:pt idx="72">
                  <c:v>173.92708333333579</c:v>
                </c:pt>
                <c:pt idx="73">
                  <c:v>175.77430555555469</c:v>
                </c:pt>
                <c:pt idx="74">
                  <c:v>177.78125</c:v>
                </c:pt>
                <c:pt idx="75">
                  <c:v>180.125</c:v>
                </c:pt>
                <c:pt idx="76">
                  <c:v>181.78125</c:v>
                </c:pt>
                <c:pt idx="77">
                  <c:v>183.7673611111168</c:v>
                </c:pt>
                <c:pt idx="78">
                  <c:v>185.77430555555469</c:v>
                </c:pt>
                <c:pt idx="79">
                  <c:v>188.77083333333579</c:v>
                </c:pt>
                <c:pt idx="80">
                  <c:v>193.8923611111168</c:v>
                </c:pt>
                <c:pt idx="81">
                  <c:v>195.77083333333579</c:v>
                </c:pt>
                <c:pt idx="82">
                  <c:v>197.77430555555469</c:v>
                </c:pt>
                <c:pt idx="83">
                  <c:v>199.77777777778101</c:v>
                </c:pt>
              </c:numCache>
            </c:numRef>
          </c:xVal>
          <c:yVal>
            <c:numRef>
              <c:f>'acid-water-inoc - test'!$K$25:$K$117</c:f>
              <c:numCache>
                <c:formatCode>General</c:formatCode>
                <c:ptCount val="84"/>
                <c:pt idx="1">
                  <c:v>223</c:v>
                </c:pt>
                <c:pt idx="2">
                  <c:v>111</c:v>
                </c:pt>
                <c:pt idx="3">
                  <c:v>271</c:v>
                </c:pt>
                <c:pt idx="4">
                  <c:v>275</c:v>
                </c:pt>
                <c:pt idx="5">
                  <c:v>301</c:v>
                </c:pt>
                <c:pt idx="6">
                  <c:v>300</c:v>
                </c:pt>
                <c:pt idx="7">
                  <c:v>249</c:v>
                </c:pt>
                <c:pt idx="8">
                  <c:v>285</c:v>
                </c:pt>
                <c:pt idx="10">
                  <c:v>280</c:v>
                </c:pt>
                <c:pt idx="11">
                  <c:v>230</c:v>
                </c:pt>
                <c:pt idx="12">
                  <c:v>212</c:v>
                </c:pt>
                <c:pt idx="13">
                  <c:v>244</c:v>
                </c:pt>
                <c:pt idx="14">
                  <c:v>241</c:v>
                </c:pt>
                <c:pt idx="15">
                  <c:v>225</c:v>
                </c:pt>
                <c:pt idx="16">
                  <c:v>230</c:v>
                </c:pt>
                <c:pt idx="17">
                  <c:v>243</c:v>
                </c:pt>
                <c:pt idx="18">
                  <c:v>220</c:v>
                </c:pt>
                <c:pt idx="19">
                  <c:v>207</c:v>
                </c:pt>
                <c:pt idx="20">
                  <c:v>218</c:v>
                </c:pt>
                <c:pt idx="21">
                  <c:v>301</c:v>
                </c:pt>
                <c:pt idx="22">
                  <c:v>234</c:v>
                </c:pt>
                <c:pt idx="23">
                  <c:v>252</c:v>
                </c:pt>
                <c:pt idx="24">
                  <c:v>247</c:v>
                </c:pt>
                <c:pt idx="25">
                  <c:v>240</c:v>
                </c:pt>
                <c:pt idx="26">
                  <c:v>245</c:v>
                </c:pt>
                <c:pt idx="27">
                  <c:v>232</c:v>
                </c:pt>
                <c:pt idx="28">
                  <c:v>271</c:v>
                </c:pt>
                <c:pt idx="29">
                  <c:v>244</c:v>
                </c:pt>
                <c:pt idx="30">
                  <c:v>290</c:v>
                </c:pt>
                <c:pt idx="31">
                  <c:v>259</c:v>
                </c:pt>
                <c:pt idx="32">
                  <c:v>273</c:v>
                </c:pt>
                <c:pt idx="33">
                  <c:v>269</c:v>
                </c:pt>
                <c:pt idx="34">
                  <c:v>256</c:v>
                </c:pt>
                <c:pt idx="35">
                  <c:v>250</c:v>
                </c:pt>
                <c:pt idx="36">
                  <c:v>262</c:v>
                </c:pt>
                <c:pt idx="37">
                  <c:v>279</c:v>
                </c:pt>
                <c:pt idx="38">
                  <c:v>190</c:v>
                </c:pt>
                <c:pt idx="39">
                  <c:v>249</c:v>
                </c:pt>
                <c:pt idx="40">
                  <c:v>227</c:v>
                </c:pt>
                <c:pt idx="41">
                  <c:v>246</c:v>
                </c:pt>
                <c:pt idx="42">
                  <c:v>326</c:v>
                </c:pt>
                <c:pt idx="43">
                  <c:v>496</c:v>
                </c:pt>
                <c:pt idx="44">
                  <c:v>592</c:v>
                </c:pt>
                <c:pt idx="45">
                  <c:v>628</c:v>
                </c:pt>
                <c:pt idx="46">
                  <c:v>624</c:v>
                </c:pt>
                <c:pt idx="47">
                  <c:v>615</c:v>
                </c:pt>
                <c:pt idx="48">
                  <c:v>636</c:v>
                </c:pt>
                <c:pt idx="49">
                  <c:v>627</c:v>
                </c:pt>
                <c:pt idx="50">
                  <c:v>636</c:v>
                </c:pt>
                <c:pt idx="51">
                  <c:v>636</c:v>
                </c:pt>
                <c:pt idx="52">
                  <c:v>635</c:v>
                </c:pt>
                <c:pt idx="53">
                  <c:v>632</c:v>
                </c:pt>
                <c:pt idx="56">
                  <c:v>660</c:v>
                </c:pt>
                <c:pt idx="57">
                  <c:v>662</c:v>
                </c:pt>
                <c:pt idx="58">
                  <c:v>663</c:v>
                </c:pt>
                <c:pt idx="59">
                  <c:v>667</c:v>
                </c:pt>
                <c:pt idx="60">
                  <c:v>671</c:v>
                </c:pt>
                <c:pt idx="61">
                  <c:v>664</c:v>
                </c:pt>
                <c:pt idx="62">
                  <c:v>667</c:v>
                </c:pt>
                <c:pt idx="63">
                  <c:v>669</c:v>
                </c:pt>
                <c:pt idx="64">
                  <c:v>661</c:v>
                </c:pt>
                <c:pt idx="65">
                  <c:v>665</c:v>
                </c:pt>
                <c:pt idx="66">
                  <c:v>668</c:v>
                </c:pt>
                <c:pt idx="67">
                  <c:v>669</c:v>
                </c:pt>
                <c:pt idx="68">
                  <c:v>671</c:v>
                </c:pt>
                <c:pt idx="69">
                  <c:v>671</c:v>
                </c:pt>
                <c:pt idx="70">
                  <c:v>679</c:v>
                </c:pt>
                <c:pt idx="71">
                  <c:v>675</c:v>
                </c:pt>
                <c:pt idx="72">
                  <c:v>653</c:v>
                </c:pt>
                <c:pt idx="73">
                  <c:v>643</c:v>
                </c:pt>
                <c:pt idx="74">
                  <c:v>665</c:v>
                </c:pt>
                <c:pt idx="75">
                  <c:v>665</c:v>
                </c:pt>
                <c:pt idx="76">
                  <c:v>666</c:v>
                </c:pt>
                <c:pt idx="77">
                  <c:v>667</c:v>
                </c:pt>
                <c:pt idx="78">
                  <c:v>669</c:v>
                </c:pt>
                <c:pt idx="79">
                  <c:v>660</c:v>
                </c:pt>
                <c:pt idx="80">
                  <c:v>669</c:v>
                </c:pt>
                <c:pt idx="81">
                  <c:v>664</c:v>
                </c:pt>
                <c:pt idx="82">
                  <c:v>661</c:v>
                </c:pt>
                <c:pt idx="83">
                  <c:v>662</c:v>
                </c:pt>
              </c:numCache>
            </c:numRef>
          </c:yVal>
          <c:smooth val="0"/>
        </c:ser>
        <c:dLbls>
          <c:showLegendKey val="0"/>
          <c:showVal val="0"/>
          <c:showCatName val="0"/>
          <c:showSerName val="0"/>
          <c:showPercent val="0"/>
          <c:showBubbleSize val="0"/>
        </c:dLbls>
        <c:axId val="289818896"/>
        <c:axId val="289819288"/>
      </c:scatterChart>
      <c:valAx>
        <c:axId val="289818896"/>
        <c:scaling>
          <c:orientation val="minMax"/>
          <c:max val="250"/>
        </c:scaling>
        <c:delete val="0"/>
        <c:axPos val="b"/>
        <c:title>
          <c:tx>
            <c:rich>
              <a:bodyPr/>
              <a:lstStyle/>
              <a:p>
                <a:pPr>
                  <a:defRPr sz="800"/>
                </a:pPr>
                <a:r>
                  <a:rPr lang="en-US" sz="800"/>
                  <a:t>time [days]</a:t>
                </a:r>
              </a:p>
            </c:rich>
          </c:tx>
          <c:layout>
            <c:manualLayout>
              <c:xMode val="edge"/>
              <c:yMode val="edge"/>
              <c:x val="0.441716333051485"/>
              <c:y val="0.87616511318242296"/>
            </c:manualLayout>
          </c:layout>
          <c:overlay val="0"/>
        </c:title>
        <c:numFmt formatCode="General" sourceLinked="1"/>
        <c:majorTickMark val="in"/>
        <c:minorTickMark val="in"/>
        <c:tickLblPos val="nextTo"/>
        <c:txPr>
          <a:bodyPr/>
          <a:lstStyle/>
          <a:p>
            <a:pPr>
              <a:defRPr sz="600"/>
            </a:pPr>
            <a:endParaRPr lang="en-US"/>
          </a:p>
        </c:txPr>
        <c:crossAx val="289819288"/>
        <c:crosses val="autoZero"/>
        <c:crossBetween val="midCat"/>
      </c:valAx>
      <c:valAx>
        <c:axId val="289819288"/>
        <c:scaling>
          <c:orientation val="minMax"/>
        </c:scaling>
        <c:delete val="0"/>
        <c:axPos val="l"/>
        <c:title>
          <c:tx>
            <c:rich>
              <a:bodyPr rot="-5400000" vert="horz"/>
              <a:lstStyle/>
              <a:p>
                <a:pPr>
                  <a:defRPr sz="800"/>
                </a:pPr>
                <a:r>
                  <a:rPr lang="en-US" sz="800"/>
                  <a:t>redox [mV]</a:t>
                </a:r>
              </a:p>
            </c:rich>
          </c:tx>
          <c:layout>
            <c:manualLayout>
              <c:xMode val="edge"/>
              <c:yMode val="edge"/>
              <c:x val="4.6200046200046202E-3"/>
              <c:y val="0.27498909088887702"/>
            </c:manualLayout>
          </c:layout>
          <c:overlay val="0"/>
        </c:title>
        <c:numFmt formatCode="General" sourceLinked="1"/>
        <c:majorTickMark val="in"/>
        <c:minorTickMark val="in"/>
        <c:tickLblPos val="nextTo"/>
        <c:txPr>
          <a:bodyPr/>
          <a:lstStyle/>
          <a:p>
            <a:pPr>
              <a:defRPr sz="600"/>
            </a:pPr>
            <a:endParaRPr lang="en-US"/>
          </a:p>
        </c:txPr>
        <c:crossAx val="289818896"/>
        <c:crosses val="autoZero"/>
        <c:crossBetween val="midCat"/>
      </c:valAx>
      <c:spPr>
        <a:ln>
          <a:solidFill>
            <a:sysClr val="windowText" lastClr="000000"/>
          </a:solidFill>
        </a:ln>
      </c:spPr>
    </c:plotArea>
    <c:plotVisOnly val="1"/>
    <c:dispBlanksAs val="gap"/>
    <c:showDLblsOverMax val="0"/>
  </c:chart>
  <c:spPr>
    <a:ln>
      <a:noFill/>
    </a:ln>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a:lstStyle/>
          <a:p>
            <a:pPr algn="ctr">
              <a:defRPr sz="800"/>
            </a:pPr>
            <a:r>
              <a:rPr lang="en-US" sz="800"/>
              <a:t>(e) blend</a:t>
            </a:r>
          </a:p>
        </c:rich>
      </c:tx>
      <c:layout>
        <c:manualLayout>
          <c:xMode val="edge"/>
          <c:yMode val="edge"/>
          <c:x val="0.39464917037942199"/>
          <c:y val="1.99733688415446E-2"/>
        </c:manualLayout>
      </c:layout>
      <c:overlay val="0"/>
    </c:title>
    <c:autoTitleDeleted val="0"/>
    <c:plotArea>
      <c:layout>
        <c:manualLayout>
          <c:layoutTarget val="inner"/>
          <c:xMode val="edge"/>
          <c:yMode val="edge"/>
          <c:x val="0.118949810872595"/>
          <c:y val="0.14647137150466"/>
          <c:w val="0.82185228154240098"/>
          <c:h val="0.71549115614875702"/>
        </c:manualLayout>
      </c:layout>
      <c:scatterChart>
        <c:scatterStyle val="lineMarker"/>
        <c:varyColors val="0"/>
        <c:ser>
          <c:idx val="0"/>
          <c:order val="0"/>
          <c:tx>
            <c:v>mix - WATER</c:v>
          </c:tx>
          <c:spPr>
            <a:ln w="47625">
              <a:noFill/>
            </a:ln>
          </c:spPr>
          <c:marker>
            <c:symbol val="diamond"/>
            <c:size val="5"/>
            <c:spPr>
              <a:ln>
                <a:solidFill>
                  <a:srgbClr val="1F497D"/>
                </a:solidFill>
              </a:ln>
            </c:spPr>
          </c:marker>
          <c:xVal>
            <c:numRef>
              <c:f>'water only - test holdup'!$D$20:$D$150</c:f>
              <c:numCache>
                <c:formatCode>0</c:formatCode>
                <c:ptCount val="114"/>
                <c:pt idx="0" formatCode="General">
                  <c:v>0</c:v>
                </c:pt>
                <c:pt idx="1">
                  <c:v>1.0381944444452531</c:v>
                </c:pt>
                <c:pt idx="2">
                  <c:v>2.0173611111094938</c:v>
                </c:pt>
                <c:pt idx="3">
                  <c:v>3.0173611111094938</c:v>
                </c:pt>
                <c:pt idx="4">
                  <c:v>4.0173611111094942</c:v>
                </c:pt>
                <c:pt idx="5">
                  <c:v>5.0590277777810124</c:v>
                </c:pt>
                <c:pt idx="6">
                  <c:v>7.0069444444452493</c:v>
                </c:pt>
                <c:pt idx="7">
                  <c:v>8.0277777777810115</c:v>
                </c:pt>
                <c:pt idx="8">
                  <c:v>9.0868055555547507</c:v>
                </c:pt>
                <c:pt idx="9">
                  <c:v>9.9965277777810098</c:v>
                </c:pt>
                <c:pt idx="10">
                  <c:v>11.003472222226261</c:v>
                </c:pt>
                <c:pt idx="11">
                  <c:v>12.003472222226261</c:v>
                </c:pt>
                <c:pt idx="12">
                  <c:v>14.097222222226261</c:v>
                </c:pt>
                <c:pt idx="13">
                  <c:v>14.96527777778101</c:v>
                </c:pt>
                <c:pt idx="14">
                  <c:v>16.034722222226261</c:v>
                </c:pt>
                <c:pt idx="15">
                  <c:v>16.954861111109501</c:v>
                </c:pt>
                <c:pt idx="16">
                  <c:v>17.954861111109501</c:v>
                </c:pt>
                <c:pt idx="17">
                  <c:v>20.3125</c:v>
                </c:pt>
                <c:pt idx="18">
                  <c:v>22.013888888890499</c:v>
                </c:pt>
                <c:pt idx="19">
                  <c:v>22.954861111109501</c:v>
                </c:pt>
                <c:pt idx="20">
                  <c:v>23.923611111109491</c:v>
                </c:pt>
                <c:pt idx="21">
                  <c:v>24.923611111109491</c:v>
                </c:pt>
                <c:pt idx="22">
                  <c:v>25.90277777778098</c:v>
                </c:pt>
                <c:pt idx="23">
                  <c:v>31.916666666664241</c:v>
                </c:pt>
                <c:pt idx="24">
                  <c:v>35.89930555555474</c:v>
                </c:pt>
                <c:pt idx="25">
                  <c:v>37.038194444445253</c:v>
                </c:pt>
                <c:pt idx="26">
                  <c:v>38.875</c:v>
                </c:pt>
                <c:pt idx="27">
                  <c:v>40.027777777780997</c:v>
                </c:pt>
                <c:pt idx="28">
                  <c:v>42.010416666664199</c:v>
                </c:pt>
                <c:pt idx="29">
                  <c:v>43.916666666664177</c:v>
                </c:pt>
                <c:pt idx="30">
                  <c:v>45.86250000000291</c:v>
                </c:pt>
                <c:pt idx="31">
                  <c:v>47.069444444445253</c:v>
                </c:pt>
                <c:pt idx="32">
                  <c:v>47.88194444444521</c:v>
                </c:pt>
                <c:pt idx="33">
                  <c:v>49.86805555555474</c:v>
                </c:pt>
                <c:pt idx="34">
                  <c:v>52.24305555555474</c:v>
                </c:pt>
                <c:pt idx="35">
                  <c:v>53.111111111109501</c:v>
                </c:pt>
                <c:pt idx="36">
                  <c:v>55.96875</c:v>
                </c:pt>
                <c:pt idx="37">
                  <c:v>58.069444444445253</c:v>
                </c:pt>
                <c:pt idx="38">
                  <c:v>58.94444444444521</c:v>
                </c:pt>
                <c:pt idx="39">
                  <c:v>60.861111111109501</c:v>
                </c:pt>
                <c:pt idx="40">
                  <c:v>63.045138888890499</c:v>
                </c:pt>
                <c:pt idx="41">
                  <c:v>64.871527777780955</c:v>
                </c:pt>
                <c:pt idx="42">
                  <c:v>66.86111111110948</c:v>
                </c:pt>
                <c:pt idx="43">
                  <c:v>68.95486111110948</c:v>
                </c:pt>
                <c:pt idx="44">
                  <c:v>71.04861111110948</c:v>
                </c:pt>
                <c:pt idx="45">
                  <c:v>74.86111111110948</c:v>
                </c:pt>
                <c:pt idx="46">
                  <c:v>77.03472222222625</c:v>
                </c:pt>
                <c:pt idx="47">
                  <c:v>78.871527777780955</c:v>
                </c:pt>
                <c:pt idx="48">
                  <c:v>80.871527777780955</c:v>
                </c:pt>
                <c:pt idx="49">
                  <c:v>84.874999999999986</c:v>
                </c:pt>
                <c:pt idx="50">
                  <c:v>87.100694444445267</c:v>
                </c:pt>
                <c:pt idx="51">
                  <c:v>88.868055555554662</c:v>
                </c:pt>
                <c:pt idx="52">
                  <c:v>90.996527777781012</c:v>
                </c:pt>
                <c:pt idx="53">
                  <c:v>92.86111111110948</c:v>
                </c:pt>
                <c:pt idx="54">
                  <c:v>94.86111111110948</c:v>
                </c:pt>
                <c:pt idx="55">
                  <c:v>96.934027777781012</c:v>
                </c:pt>
                <c:pt idx="56">
                  <c:v>98.888888888890406</c:v>
                </c:pt>
                <c:pt idx="57">
                  <c:v>100.9479166666642</c:v>
                </c:pt>
                <c:pt idx="58">
                  <c:v>102.86111111110949</c:v>
                </c:pt>
                <c:pt idx="59">
                  <c:v>104.9618055555547</c:v>
                </c:pt>
                <c:pt idx="60">
                  <c:v>107.0416666666642</c:v>
                </c:pt>
                <c:pt idx="61">
                  <c:v>108.8645833333358</c:v>
                </c:pt>
                <c:pt idx="62">
                  <c:v>110.996527777781</c:v>
                </c:pt>
                <c:pt idx="63">
                  <c:v>112.86111111110949</c:v>
                </c:pt>
                <c:pt idx="64">
                  <c:v>114.86111111110949</c:v>
                </c:pt>
                <c:pt idx="65">
                  <c:v>118.98611111110949</c:v>
                </c:pt>
                <c:pt idx="66">
                  <c:v>120.86111111110949</c:v>
                </c:pt>
                <c:pt idx="67">
                  <c:v>122.86111111110949</c:v>
                </c:pt>
                <c:pt idx="68">
                  <c:v>126.8645833333358</c:v>
                </c:pt>
                <c:pt idx="69">
                  <c:v>128.85763888889051</c:v>
                </c:pt>
                <c:pt idx="70">
                  <c:v>133.02777777778101</c:v>
                </c:pt>
                <c:pt idx="71">
                  <c:v>135.11805555555469</c:v>
                </c:pt>
                <c:pt idx="72">
                  <c:v>136.86458333333579</c:v>
                </c:pt>
                <c:pt idx="73">
                  <c:v>140.88194444444531</c:v>
                </c:pt>
                <c:pt idx="74">
                  <c:v>142.86458333333579</c:v>
                </c:pt>
                <c:pt idx="75">
                  <c:v>153.00347222222629</c:v>
                </c:pt>
                <c:pt idx="76">
                  <c:v>157.85416666666421</c:v>
                </c:pt>
                <c:pt idx="77">
                  <c:v>160.01736111110949</c:v>
                </c:pt>
                <c:pt idx="78">
                  <c:v>161.85763888889051</c:v>
                </c:pt>
                <c:pt idx="79">
                  <c:v>168.02430555555469</c:v>
                </c:pt>
                <c:pt idx="80">
                  <c:v>169.86111111110949</c:v>
                </c:pt>
                <c:pt idx="81">
                  <c:v>173.98263888889051</c:v>
                </c:pt>
                <c:pt idx="82">
                  <c:v>175.85763888889051</c:v>
                </c:pt>
                <c:pt idx="83">
                  <c:v>177.97222222222629</c:v>
                </c:pt>
                <c:pt idx="84">
                  <c:v>179.86111111110949</c:v>
                </c:pt>
                <c:pt idx="85">
                  <c:v>181.97569444444531</c:v>
                </c:pt>
                <c:pt idx="86">
                  <c:v>183.86111111110949</c:v>
                </c:pt>
                <c:pt idx="87">
                  <c:v>185.86111111110949</c:v>
                </c:pt>
                <c:pt idx="88">
                  <c:v>187.99652777778101</c:v>
                </c:pt>
                <c:pt idx="89">
                  <c:v>189.85416666666421</c:v>
                </c:pt>
                <c:pt idx="90">
                  <c:v>196.86111111110949</c:v>
                </c:pt>
                <c:pt idx="91">
                  <c:v>198.85416666666421</c:v>
                </c:pt>
                <c:pt idx="92">
                  <c:v>200.84722222222629</c:v>
                </c:pt>
                <c:pt idx="93">
                  <c:v>203.84722222222629</c:v>
                </c:pt>
                <c:pt idx="94">
                  <c:v>205.85416666666421</c:v>
                </c:pt>
                <c:pt idx="95">
                  <c:v>207.85763888889051</c:v>
                </c:pt>
                <c:pt idx="96">
                  <c:v>210.85069444444531</c:v>
                </c:pt>
                <c:pt idx="97">
                  <c:v>212.85763888889051</c:v>
                </c:pt>
                <c:pt idx="98">
                  <c:v>214.85416666666421</c:v>
                </c:pt>
                <c:pt idx="99">
                  <c:v>217.86111111110949</c:v>
                </c:pt>
                <c:pt idx="100">
                  <c:v>221.11111111110949</c:v>
                </c:pt>
                <c:pt idx="101">
                  <c:v>224.00694444444531</c:v>
                </c:pt>
                <c:pt idx="102">
                  <c:v>225.85416666666421</c:v>
                </c:pt>
                <c:pt idx="103">
                  <c:v>227.86111111110949</c:v>
                </c:pt>
                <c:pt idx="104">
                  <c:v>230.20486111110949</c:v>
                </c:pt>
                <c:pt idx="105">
                  <c:v>231.86111111110949</c:v>
                </c:pt>
                <c:pt idx="106">
                  <c:v>233.84722222222629</c:v>
                </c:pt>
                <c:pt idx="107">
                  <c:v>235.85416666666421</c:v>
                </c:pt>
                <c:pt idx="108">
                  <c:v>238.85069444444531</c:v>
                </c:pt>
                <c:pt idx="109">
                  <c:v>241.85416666666421</c:v>
                </c:pt>
                <c:pt idx="110">
                  <c:v>243.97222222222629</c:v>
                </c:pt>
                <c:pt idx="111">
                  <c:v>245.85069444444531</c:v>
                </c:pt>
                <c:pt idx="112">
                  <c:v>247.85416666666421</c:v>
                </c:pt>
                <c:pt idx="113">
                  <c:v>249.85763888889051</c:v>
                </c:pt>
              </c:numCache>
            </c:numRef>
          </c:xVal>
          <c:yVal>
            <c:numRef>
              <c:f>'water only - test holdup'!$E$20:$E$150</c:f>
              <c:numCache>
                <c:formatCode>General</c:formatCode>
                <c:ptCount val="114"/>
                <c:pt idx="0">
                  <c:v>9.15</c:v>
                </c:pt>
                <c:pt idx="1">
                  <c:v>3.08</c:v>
                </c:pt>
                <c:pt idx="2">
                  <c:v>6.1499999999999986</c:v>
                </c:pt>
                <c:pt idx="3">
                  <c:v>7.23</c:v>
                </c:pt>
                <c:pt idx="4">
                  <c:v>7.42</c:v>
                </c:pt>
                <c:pt idx="5">
                  <c:v>7.6199999999999957</c:v>
                </c:pt>
                <c:pt idx="6">
                  <c:v>7.83</c:v>
                </c:pt>
                <c:pt idx="7">
                  <c:v>7.94</c:v>
                </c:pt>
                <c:pt idx="8">
                  <c:v>7.95</c:v>
                </c:pt>
                <c:pt idx="9">
                  <c:v>7.94</c:v>
                </c:pt>
                <c:pt idx="10">
                  <c:v>7.88</c:v>
                </c:pt>
                <c:pt idx="11">
                  <c:v>7.83</c:v>
                </c:pt>
                <c:pt idx="12">
                  <c:v>7.83</c:v>
                </c:pt>
                <c:pt idx="13">
                  <c:v>7.84</c:v>
                </c:pt>
                <c:pt idx="14">
                  <c:v>7.8599999999999977</c:v>
                </c:pt>
                <c:pt idx="15">
                  <c:v>7.68</c:v>
                </c:pt>
                <c:pt idx="16">
                  <c:v>7.75</c:v>
                </c:pt>
                <c:pt idx="17">
                  <c:v>7.78</c:v>
                </c:pt>
                <c:pt idx="18">
                  <c:v>7.55</c:v>
                </c:pt>
                <c:pt idx="19">
                  <c:v>7.6</c:v>
                </c:pt>
                <c:pt idx="20">
                  <c:v>7.76</c:v>
                </c:pt>
                <c:pt idx="21">
                  <c:v>7.58</c:v>
                </c:pt>
                <c:pt idx="22">
                  <c:v>7.75</c:v>
                </c:pt>
                <c:pt idx="23">
                  <c:v>7.6199999999999957</c:v>
                </c:pt>
                <c:pt idx="24">
                  <c:v>7.56</c:v>
                </c:pt>
                <c:pt idx="25">
                  <c:v>7.55</c:v>
                </c:pt>
                <c:pt idx="26">
                  <c:v>7.64</c:v>
                </c:pt>
                <c:pt idx="27">
                  <c:v>6.17</c:v>
                </c:pt>
                <c:pt idx="28">
                  <c:v>7.58</c:v>
                </c:pt>
                <c:pt idx="29">
                  <c:v>7.47</c:v>
                </c:pt>
                <c:pt idx="30">
                  <c:v>7.51</c:v>
                </c:pt>
                <c:pt idx="31">
                  <c:v>7.49</c:v>
                </c:pt>
                <c:pt idx="32">
                  <c:v>7.57</c:v>
                </c:pt>
                <c:pt idx="33">
                  <c:v>7.47</c:v>
                </c:pt>
                <c:pt idx="34">
                  <c:v>7.52</c:v>
                </c:pt>
                <c:pt idx="35">
                  <c:v>6.97</c:v>
                </c:pt>
                <c:pt idx="36">
                  <c:v>7.6599999999999957</c:v>
                </c:pt>
                <c:pt idx="37">
                  <c:v>7.47</c:v>
                </c:pt>
                <c:pt idx="38">
                  <c:v>7.54</c:v>
                </c:pt>
                <c:pt idx="39">
                  <c:v>7.7</c:v>
                </c:pt>
                <c:pt idx="41">
                  <c:v>7.58</c:v>
                </c:pt>
                <c:pt idx="42">
                  <c:v>7.5</c:v>
                </c:pt>
                <c:pt idx="43">
                  <c:v>7.52</c:v>
                </c:pt>
                <c:pt idx="44">
                  <c:v>7.47</c:v>
                </c:pt>
                <c:pt idx="45">
                  <c:v>7.51</c:v>
                </c:pt>
                <c:pt idx="46">
                  <c:v>7.6</c:v>
                </c:pt>
                <c:pt idx="47">
                  <c:v>7.6499999999999977</c:v>
                </c:pt>
                <c:pt idx="48">
                  <c:v>7.71</c:v>
                </c:pt>
                <c:pt idx="49">
                  <c:v>7.58</c:v>
                </c:pt>
                <c:pt idx="50">
                  <c:v>7.48</c:v>
                </c:pt>
                <c:pt idx="51">
                  <c:v>7.55</c:v>
                </c:pt>
                <c:pt idx="52">
                  <c:v>7.76</c:v>
                </c:pt>
                <c:pt idx="53">
                  <c:v>7.92</c:v>
                </c:pt>
                <c:pt idx="54">
                  <c:v>7.6899999999999986</c:v>
                </c:pt>
                <c:pt idx="55">
                  <c:v>7.44</c:v>
                </c:pt>
                <c:pt idx="56">
                  <c:v>7.6599999999999957</c:v>
                </c:pt>
                <c:pt idx="57">
                  <c:v>7.64</c:v>
                </c:pt>
                <c:pt idx="58">
                  <c:v>7.56</c:v>
                </c:pt>
                <c:pt idx="59">
                  <c:v>7.6099999999999977</c:v>
                </c:pt>
                <c:pt idx="60">
                  <c:v>7.7</c:v>
                </c:pt>
                <c:pt idx="61">
                  <c:v>7.68</c:v>
                </c:pt>
                <c:pt idx="62">
                  <c:v>7.78</c:v>
                </c:pt>
                <c:pt idx="63">
                  <c:v>7.52</c:v>
                </c:pt>
                <c:pt idx="64">
                  <c:v>7.7</c:v>
                </c:pt>
                <c:pt idx="65">
                  <c:v>7.7</c:v>
                </c:pt>
                <c:pt idx="66">
                  <c:v>7.76</c:v>
                </c:pt>
                <c:pt idx="67">
                  <c:v>7.81</c:v>
                </c:pt>
                <c:pt idx="68">
                  <c:v>7.73</c:v>
                </c:pt>
                <c:pt idx="70">
                  <c:v>7.76</c:v>
                </c:pt>
                <c:pt idx="71">
                  <c:v>7.76</c:v>
                </c:pt>
                <c:pt idx="73">
                  <c:v>7.8199999999999976</c:v>
                </c:pt>
                <c:pt idx="74">
                  <c:v>7.72</c:v>
                </c:pt>
                <c:pt idx="75">
                  <c:v>7.8199999999999976</c:v>
                </c:pt>
                <c:pt idx="76">
                  <c:v>7.6899999999999986</c:v>
                </c:pt>
                <c:pt idx="77">
                  <c:v>7.6899999999999986</c:v>
                </c:pt>
                <c:pt idx="78">
                  <c:v>7.6899999999999986</c:v>
                </c:pt>
                <c:pt idx="79">
                  <c:v>7.6499999999999977</c:v>
                </c:pt>
                <c:pt idx="81">
                  <c:v>7.9</c:v>
                </c:pt>
                <c:pt idx="82">
                  <c:v>7.76</c:v>
                </c:pt>
                <c:pt idx="85">
                  <c:v>7.52</c:v>
                </c:pt>
                <c:pt idx="86">
                  <c:v>7.41</c:v>
                </c:pt>
                <c:pt idx="87">
                  <c:v>7.41</c:v>
                </c:pt>
                <c:pt idx="88">
                  <c:v>7.41</c:v>
                </c:pt>
                <c:pt idx="89">
                  <c:v>7.42</c:v>
                </c:pt>
                <c:pt idx="90">
                  <c:v>7.75</c:v>
                </c:pt>
                <c:pt idx="91">
                  <c:v>7.73</c:v>
                </c:pt>
                <c:pt idx="92">
                  <c:v>7.75</c:v>
                </c:pt>
                <c:pt idx="93">
                  <c:v>7.88</c:v>
                </c:pt>
                <c:pt idx="94">
                  <c:v>7.75</c:v>
                </c:pt>
                <c:pt idx="95">
                  <c:v>7.8199999999999976</c:v>
                </c:pt>
                <c:pt idx="96">
                  <c:v>7.7699999999999987</c:v>
                </c:pt>
                <c:pt idx="97">
                  <c:v>7.7699999999999987</c:v>
                </c:pt>
                <c:pt idx="98">
                  <c:v>7.74</c:v>
                </c:pt>
                <c:pt idx="99">
                  <c:v>7.83</c:v>
                </c:pt>
                <c:pt idx="100">
                  <c:v>7.88</c:v>
                </c:pt>
                <c:pt idx="101">
                  <c:v>8.02</c:v>
                </c:pt>
                <c:pt idx="102">
                  <c:v>8.02</c:v>
                </c:pt>
                <c:pt idx="103">
                  <c:v>8.08</c:v>
                </c:pt>
                <c:pt idx="104">
                  <c:v>7.99</c:v>
                </c:pt>
                <c:pt idx="105">
                  <c:v>7.97</c:v>
                </c:pt>
                <c:pt idx="106">
                  <c:v>7.92</c:v>
                </c:pt>
                <c:pt idx="107">
                  <c:v>7.83</c:v>
                </c:pt>
                <c:pt idx="108">
                  <c:v>7.8199999999999976</c:v>
                </c:pt>
                <c:pt idx="109">
                  <c:v>7.58</c:v>
                </c:pt>
                <c:pt idx="110">
                  <c:v>7.6499999999999977</c:v>
                </c:pt>
                <c:pt idx="111">
                  <c:v>7.52</c:v>
                </c:pt>
                <c:pt idx="112">
                  <c:v>7.8599999999999977</c:v>
                </c:pt>
                <c:pt idx="113">
                  <c:v>7.93</c:v>
                </c:pt>
              </c:numCache>
            </c:numRef>
          </c:yVal>
          <c:smooth val="0"/>
        </c:ser>
        <c:ser>
          <c:idx val="2"/>
          <c:order val="1"/>
          <c:tx>
            <c:v>mix - ABIOTIC</c:v>
          </c:tx>
          <c:spPr>
            <a:ln w="47625">
              <a:noFill/>
            </a:ln>
          </c:spPr>
          <c:marker>
            <c:symbol val="square"/>
            <c:size val="5"/>
            <c:spPr>
              <a:solidFill>
                <a:schemeClr val="accent5">
                  <a:lumMod val="75000"/>
                </a:schemeClr>
              </a:solidFill>
              <a:ln>
                <a:solidFill>
                  <a:schemeClr val="accent5">
                    <a:lumMod val="50000"/>
                  </a:schemeClr>
                </a:solidFill>
              </a:ln>
            </c:spPr>
          </c:marker>
          <c:xVal>
            <c:numRef>
              <c:f>'acid-water only - test'!$D$24:$D$116</c:f>
              <c:numCache>
                <c:formatCode>0</c:formatCode>
                <c:ptCount val="81"/>
                <c:pt idx="0" formatCode="General">
                  <c:v>0</c:v>
                </c:pt>
                <c:pt idx="1">
                  <c:v>1.138888888890506</c:v>
                </c:pt>
                <c:pt idx="2">
                  <c:v>2.163194444445252</c:v>
                </c:pt>
                <c:pt idx="3">
                  <c:v>3.03125</c:v>
                </c:pt>
                <c:pt idx="4">
                  <c:v>4.1736111111167702</c:v>
                </c:pt>
                <c:pt idx="5">
                  <c:v>5.8888888888905058</c:v>
                </c:pt>
                <c:pt idx="6">
                  <c:v>7.9895833333357587</c:v>
                </c:pt>
                <c:pt idx="7">
                  <c:v>8.8645833333357604</c:v>
                </c:pt>
                <c:pt idx="8">
                  <c:v>10.78125</c:v>
                </c:pt>
                <c:pt idx="9">
                  <c:v>12.96527777778101</c:v>
                </c:pt>
                <c:pt idx="10">
                  <c:v>14.791666666671521</c:v>
                </c:pt>
                <c:pt idx="11">
                  <c:v>16.78125</c:v>
                </c:pt>
                <c:pt idx="12">
                  <c:v>18.875</c:v>
                </c:pt>
                <c:pt idx="13">
                  <c:v>20.96875</c:v>
                </c:pt>
                <c:pt idx="14">
                  <c:v>22.868055555554751</c:v>
                </c:pt>
                <c:pt idx="15">
                  <c:v>24.78125</c:v>
                </c:pt>
                <c:pt idx="16">
                  <c:v>26.95486111111677</c:v>
                </c:pt>
                <c:pt idx="17">
                  <c:v>28.791666666671521</c:v>
                </c:pt>
                <c:pt idx="18">
                  <c:v>30.791666666671521</c:v>
                </c:pt>
                <c:pt idx="19">
                  <c:v>37.020833333335752</c:v>
                </c:pt>
                <c:pt idx="20">
                  <c:v>38.788194444445253</c:v>
                </c:pt>
                <c:pt idx="21">
                  <c:v>40.916666666671482</c:v>
                </c:pt>
                <c:pt idx="22">
                  <c:v>42.78125</c:v>
                </c:pt>
                <c:pt idx="23">
                  <c:v>44.78125</c:v>
                </c:pt>
                <c:pt idx="24">
                  <c:v>46.854166666671482</c:v>
                </c:pt>
                <c:pt idx="25">
                  <c:v>52.78125</c:v>
                </c:pt>
                <c:pt idx="26">
                  <c:v>54.88194444444521</c:v>
                </c:pt>
                <c:pt idx="27">
                  <c:v>56.961805555554747</c:v>
                </c:pt>
                <c:pt idx="28">
                  <c:v>60.916666666671482</c:v>
                </c:pt>
                <c:pt idx="29">
                  <c:v>62.78125</c:v>
                </c:pt>
                <c:pt idx="30">
                  <c:v>64.78125</c:v>
                </c:pt>
                <c:pt idx="31">
                  <c:v>68.90625</c:v>
                </c:pt>
                <c:pt idx="32">
                  <c:v>70.78125</c:v>
                </c:pt>
                <c:pt idx="33">
                  <c:v>72.78125</c:v>
                </c:pt>
                <c:pt idx="34">
                  <c:v>76.78472222222625</c:v>
                </c:pt>
                <c:pt idx="35">
                  <c:v>78.777777777780898</c:v>
                </c:pt>
                <c:pt idx="36">
                  <c:v>82.947916666671503</c:v>
                </c:pt>
                <c:pt idx="37">
                  <c:v>85.038194444445267</c:v>
                </c:pt>
                <c:pt idx="38">
                  <c:v>86.78472222222625</c:v>
                </c:pt>
                <c:pt idx="39">
                  <c:v>90.802083333335702</c:v>
                </c:pt>
                <c:pt idx="40">
                  <c:v>92.78472222222625</c:v>
                </c:pt>
                <c:pt idx="41">
                  <c:v>100.79513888889051</c:v>
                </c:pt>
                <c:pt idx="42">
                  <c:v>102.9236111111168</c:v>
                </c:pt>
                <c:pt idx="43">
                  <c:v>107.7743055555547</c:v>
                </c:pt>
                <c:pt idx="44">
                  <c:v>109.9375</c:v>
                </c:pt>
                <c:pt idx="45">
                  <c:v>111.777777777781</c:v>
                </c:pt>
                <c:pt idx="46">
                  <c:v>117.9444444444453</c:v>
                </c:pt>
                <c:pt idx="47">
                  <c:v>119.78125</c:v>
                </c:pt>
                <c:pt idx="48">
                  <c:v>121.777777777781</c:v>
                </c:pt>
                <c:pt idx="49">
                  <c:v>123.902777777781</c:v>
                </c:pt>
                <c:pt idx="50">
                  <c:v>125.777777777781</c:v>
                </c:pt>
                <c:pt idx="51">
                  <c:v>127.8923611111168</c:v>
                </c:pt>
                <c:pt idx="52">
                  <c:v>129.78125</c:v>
                </c:pt>
                <c:pt idx="53">
                  <c:v>131.89583333333579</c:v>
                </c:pt>
                <c:pt idx="54">
                  <c:v>133.78125</c:v>
                </c:pt>
                <c:pt idx="55">
                  <c:v>135.78125</c:v>
                </c:pt>
                <c:pt idx="56">
                  <c:v>139.77430555555469</c:v>
                </c:pt>
                <c:pt idx="57">
                  <c:v>146.78125</c:v>
                </c:pt>
                <c:pt idx="58">
                  <c:v>148.77430555555469</c:v>
                </c:pt>
                <c:pt idx="59">
                  <c:v>150.7673611111168</c:v>
                </c:pt>
                <c:pt idx="60">
                  <c:v>153.7673611111168</c:v>
                </c:pt>
                <c:pt idx="61">
                  <c:v>155.77430555555469</c:v>
                </c:pt>
                <c:pt idx="62">
                  <c:v>157.77777777778101</c:v>
                </c:pt>
                <c:pt idx="63">
                  <c:v>160.77083333333579</c:v>
                </c:pt>
                <c:pt idx="64">
                  <c:v>162.77777777778101</c:v>
                </c:pt>
                <c:pt idx="65">
                  <c:v>164.77430555555469</c:v>
                </c:pt>
                <c:pt idx="66">
                  <c:v>167.48958333333579</c:v>
                </c:pt>
                <c:pt idx="67">
                  <c:v>171.03125</c:v>
                </c:pt>
                <c:pt idx="68">
                  <c:v>173.92708333333579</c:v>
                </c:pt>
                <c:pt idx="69">
                  <c:v>175.77430555555469</c:v>
                </c:pt>
                <c:pt idx="70">
                  <c:v>177.78125</c:v>
                </c:pt>
                <c:pt idx="71">
                  <c:v>180.125</c:v>
                </c:pt>
                <c:pt idx="72">
                  <c:v>181.78125</c:v>
                </c:pt>
                <c:pt idx="73">
                  <c:v>183.7673611111168</c:v>
                </c:pt>
                <c:pt idx="74">
                  <c:v>185.77430555555469</c:v>
                </c:pt>
                <c:pt idx="75">
                  <c:v>188.77083333333579</c:v>
                </c:pt>
                <c:pt idx="76">
                  <c:v>191.77430555555469</c:v>
                </c:pt>
                <c:pt idx="77">
                  <c:v>193.8923611111168</c:v>
                </c:pt>
                <c:pt idx="78">
                  <c:v>195.77083333333579</c:v>
                </c:pt>
                <c:pt idx="79">
                  <c:v>197.77430555555469</c:v>
                </c:pt>
                <c:pt idx="80">
                  <c:v>199.77777777778101</c:v>
                </c:pt>
              </c:numCache>
            </c:numRef>
          </c:xVal>
          <c:yVal>
            <c:numRef>
              <c:f>'acid-water only - test'!$E$24:$E$116</c:f>
              <c:numCache>
                <c:formatCode>General</c:formatCode>
                <c:ptCount val="81"/>
                <c:pt idx="0">
                  <c:v>2</c:v>
                </c:pt>
                <c:pt idx="2">
                  <c:v>7.1</c:v>
                </c:pt>
                <c:pt idx="3">
                  <c:v>7.56</c:v>
                </c:pt>
                <c:pt idx="4">
                  <c:v>7.76</c:v>
                </c:pt>
                <c:pt idx="5">
                  <c:v>8.2899999999999991</c:v>
                </c:pt>
                <c:pt idx="6">
                  <c:v>8.01</c:v>
                </c:pt>
                <c:pt idx="7">
                  <c:v>8.0500000000000007</c:v>
                </c:pt>
                <c:pt idx="8">
                  <c:v>7.6</c:v>
                </c:pt>
                <c:pt idx="10">
                  <c:v>7.53</c:v>
                </c:pt>
                <c:pt idx="11">
                  <c:v>7.43</c:v>
                </c:pt>
                <c:pt idx="12">
                  <c:v>7.42</c:v>
                </c:pt>
                <c:pt idx="13">
                  <c:v>7.45</c:v>
                </c:pt>
                <c:pt idx="14">
                  <c:v>7.53</c:v>
                </c:pt>
                <c:pt idx="15">
                  <c:v>7.63</c:v>
                </c:pt>
                <c:pt idx="16">
                  <c:v>7.44</c:v>
                </c:pt>
                <c:pt idx="17">
                  <c:v>7.45</c:v>
                </c:pt>
                <c:pt idx="18">
                  <c:v>7.46</c:v>
                </c:pt>
                <c:pt idx="19">
                  <c:v>7.24</c:v>
                </c:pt>
                <c:pt idx="20">
                  <c:v>6.8599999999999977</c:v>
                </c:pt>
                <c:pt idx="21">
                  <c:v>6.98</c:v>
                </c:pt>
                <c:pt idx="22">
                  <c:v>6.8</c:v>
                </c:pt>
                <c:pt idx="23">
                  <c:v>6.85</c:v>
                </c:pt>
                <c:pt idx="24">
                  <c:v>6.8599999999999977</c:v>
                </c:pt>
                <c:pt idx="25">
                  <c:v>6.7</c:v>
                </c:pt>
                <c:pt idx="26">
                  <c:v>6.6099999999999977</c:v>
                </c:pt>
                <c:pt idx="27">
                  <c:v>6.6899999999999986</c:v>
                </c:pt>
                <c:pt idx="28">
                  <c:v>6.4</c:v>
                </c:pt>
                <c:pt idx="29">
                  <c:v>6.79</c:v>
                </c:pt>
                <c:pt idx="30">
                  <c:v>6.54</c:v>
                </c:pt>
                <c:pt idx="31">
                  <c:v>6.6099999999999977</c:v>
                </c:pt>
                <c:pt idx="32">
                  <c:v>6.6499999999999977</c:v>
                </c:pt>
                <c:pt idx="33">
                  <c:v>6.55</c:v>
                </c:pt>
                <c:pt idx="34">
                  <c:v>6.3599999999999977</c:v>
                </c:pt>
                <c:pt idx="35">
                  <c:v>6.4</c:v>
                </c:pt>
                <c:pt idx="36">
                  <c:v>6.24</c:v>
                </c:pt>
                <c:pt idx="37">
                  <c:v>5.92</c:v>
                </c:pt>
                <c:pt idx="38">
                  <c:v>6.23</c:v>
                </c:pt>
                <c:pt idx="39">
                  <c:v>6.18</c:v>
                </c:pt>
                <c:pt idx="40">
                  <c:v>6.2</c:v>
                </c:pt>
                <c:pt idx="41">
                  <c:v>6.1499999999999986</c:v>
                </c:pt>
                <c:pt idx="42">
                  <c:v>6.1</c:v>
                </c:pt>
                <c:pt idx="43">
                  <c:v>6.1899999999999986</c:v>
                </c:pt>
                <c:pt idx="44">
                  <c:v>6.18</c:v>
                </c:pt>
                <c:pt idx="45">
                  <c:v>6.1099999999999994</c:v>
                </c:pt>
                <c:pt idx="46">
                  <c:v>5.92</c:v>
                </c:pt>
                <c:pt idx="47">
                  <c:v>5.89</c:v>
                </c:pt>
                <c:pt idx="48">
                  <c:v>5.9</c:v>
                </c:pt>
                <c:pt idx="49">
                  <c:v>5.9</c:v>
                </c:pt>
                <c:pt idx="50">
                  <c:v>5.64</c:v>
                </c:pt>
                <c:pt idx="53">
                  <c:v>3.82</c:v>
                </c:pt>
                <c:pt idx="54">
                  <c:v>3.52</c:v>
                </c:pt>
                <c:pt idx="55">
                  <c:v>3.48</c:v>
                </c:pt>
                <c:pt idx="56">
                  <c:v>2.92</c:v>
                </c:pt>
                <c:pt idx="57">
                  <c:v>2.72</c:v>
                </c:pt>
                <c:pt idx="58">
                  <c:v>2.8</c:v>
                </c:pt>
                <c:pt idx="59">
                  <c:v>2.81</c:v>
                </c:pt>
                <c:pt idx="60">
                  <c:v>2.85</c:v>
                </c:pt>
                <c:pt idx="61">
                  <c:v>2.82</c:v>
                </c:pt>
                <c:pt idx="62">
                  <c:v>2.83</c:v>
                </c:pt>
                <c:pt idx="63">
                  <c:v>2.85</c:v>
                </c:pt>
                <c:pt idx="64">
                  <c:v>2.85</c:v>
                </c:pt>
                <c:pt idx="65">
                  <c:v>2.84</c:v>
                </c:pt>
                <c:pt idx="66">
                  <c:v>2.74</c:v>
                </c:pt>
                <c:pt idx="67">
                  <c:v>2.76</c:v>
                </c:pt>
                <c:pt idx="68">
                  <c:v>2.72</c:v>
                </c:pt>
                <c:pt idx="69">
                  <c:v>2.74</c:v>
                </c:pt>
                <c:pt idx="70">
                  <c:v>2.75</c:v>
                </c:pt>
                <c:pt idx="71">
                  <c:v>2.72</c:v>
                </c:pt>
                <c:pt idx="72">
                  <c:v>2.7</c:v>
                </c:pt>
                <c:pt idx="73">
                  <c:v>2.69</c:v>
                </c:pt>
                <c:pt idx="74">
                  <c:v>2.69</c:v>
                </c:pt>
                <c:pt idx="75">
                  <c:v>2.68</c:v>
                </c:pt>
                <c:pt idx="76">
                  <c:v>2.7</c:v>
                </c:pt>
                <c:pt idx="77">
                  <c:v>2.68</c:v>
                </c:pt>
                <c:pt idx="78">
                  <c:v>2.62</c:v>
                </c:pt>
                <c:pt idx="79">
                  <c:v>2.65</c:v>
                </c:pt>
                <c:pt idx="80">
                  <c:v>2.63</c:v>
                </c:pt>
              </c:numCache>
            </c:numRef>
          </c:yVal>
          <c:smooth val="0"/>
        </c:ser>
        <c:ser>
          <c:idx val="3"/>
          <c:order val="2"/>
          <c:tx>
            <c:v>mix - BIOTIC</c:v>
          </c:tx>
          <c:spPr>
            <a:ln w="47625">
              <a:noFill/>
            </a:ln>
          </c:spPr>
          <c:marker>
            <c:symbol val="circle"/>
            <c:size val="5"/>
            <c:spPr>
              <a:solidFill>
                <a:schemeClr val="accent6">
                  <a:lumMod val="60000"/>
                  <a:lumOff val="40000"/>
                </a:schemeClr>
              </a:solidFill>
              <a:ln>
                <a:solidFill>
                  <a:schemeClr val="accent6"/>
                </a:solidFill>
              </a:ln>
            </c:spPr>
          </c:marker>
          <c:xVal>
            <c:numRef>
              <c:f>'acid-water-inoc - test'!$D$25:$D$117</c:f>
              <c:numCache>
                <c:formatCode>0</c:formatCode>
                <c:ptCount val="84"/>
                <c:pt idx="0" formatCode="General">
                  <c:v>0</c:v>
                </c:pt>
                <c:pt idx="1">
                  <c:v>1.138888888890506</c:v>
                </c:pt>
                <c:pt idx="2">
                  <c:v>2.163194444445252</c:v>
                </c:pt>
                <c:pt idx="3">
                  <c:v>3.03125</c:v>
                </c:pt>
                <c:pt idx="4">
                  <c:v>4.1736111111167702</c:v>
                </c:pt>
                <c:pt idx="5">
                  <c:v>5.8888888888905058</c:v>
                </c:pt>
                <c:pt idx="6">
                  <c:v>7.9895833333357587</c:v>
                </c:pt>
                <c:pt idx="7">
                  <c:v>8.8645833333357604</c:v>
                </c:pt>
                <c:pt idx="8">
                  <c:v>10.78125</c:v>
                </c:pt>
                <c:pt idx="9">
                  <c:v>12.96527777778101</c:v>
                </c:pt>
                <c:pt idx="10">
                  <c:v>14.791666666671521</c:v>
                </c:pt>
                <c:pt idx="11">
                  <c:v>16.78125</c:v>
                </c:pt>
                <c:pt idx="12">
                  <c:v>18.875</c:v>
                </c:pt>
                <c:pt idx="13">
                  <c:v>20.96875</c:v>
                </c:pt>
                <c:pt idx="14">
                  <c:v>22.868055555554751</c:v>
                </c:pt>
                <c:pt idx="15">
                  <c:v>24.78125</c:v>
                </c:pt>
                <c:pt idx="16">
                  <c:v>26.95486111111677</c:v>
                </c:pt>
                <c:pt idx="17">
                  <c:v>28.791666666671521</c:v>
                </c:pt>
                <c:pt idx="18">
                  <c:v>30.791666666671521</c:v>
                </c:pt>
                <c:pt idx="19">
                  <c:v>32.90625</c:v>
                </c:pt>
                <c:pt idx="20">
                  <c:v>34.795138888890499</c:v>
                </c:pt>
                <c:pt idx="21">
                  <c:v>37.020833333335752</c:v>
                </c:pt>
                <c:pt idx="22">
                  <c:v>38.788194444445253</c:v>
                </c:pt>
                <c:pt idx="23">
                  <c:v>40.916666666671482</c:v>
                </c:pt>
                <c:pt idx="24">
                  <c:v>42.78125</c:v>
                </c:pt>
                <c:pt idx="25">
                  <c:v>44.78125</c:v>
                </c:pt>
                <c:pt idx="26">
                  <c:v>46.854166666671482</c:v>
                </c:pt>
                <c:pt idx="27">
                  <c:v>48.809027777780969</c:v>
                </c:pt>
                <c:pt idx="28">
                  <c:v>50.86805555555474</c:v>
                </c:pt>
                <c:pt idx="29">
                  <c:v>54.88194444444521</c:v>
                </c:pt>
                <c:pt idx="30">
                  <c:v>56.961805555554747</c:v>
                </c:pt>
                <c:pt idx="31">
                  <c:v>58.784722222226257</c:v>
                </c:pt>
                <c:pt idx="32">
                  <c:v>60.916666666671482</c:v>
                </c:pt>
                <c:pt idx="33">
                  <c:v>62.78125</c:v>
                </c:pt>
                <c:pt idx="34">
                  <c:v>64.78125</c:v>
                </c:pt>
                <c:pt idx="35">
                  <c:v>68.90625</c:v>
                </c:pt>
                <c:pt idx="36">
                  <c:v>70.78125</c:v>
                </c:pt>
                <c:pt idx="37">
                  <c:v>72.78125</c:v>
                </c:pt>
                <c:pt idx="38">
                  <c:v>76.78472222222625</c:v>
                </c:pt>
                <c:pt idx="39">
                  <c:v>78.777777777780898</c:v>
                </c:pt>
                <c:pt idx="40">
                  <c:v>82.947916666671503</c:v>
                </c:pt>
                <c:pt idx="41">
                  <c:v>85.038194444445267</c:v>
                </c:pt>
                <c:pt idx="42">
                  <c:v>86.78472222222625</c:v>
                </c:pt>
                <c:pt idx="43">
                  <c:v>90.802083333335702</c:v>
                </c:pt>
                <c:pt idx="44">
                  <c:v>92.78472222222625</c:v>
                </c:pt>
                <c:pt idx="45">
                  <c:v>100.79513888889051</c:v>
                </c:pt>
                <c:pt idx="46">
                  <c:v>102.9236111111168</c:v>
                </c:pt>
                <c:pt idx="47">
                  <c:v>105.7881944444453</c:v>
                </c:pt>
                <c:pt idx="48">
                  <c:v>107.7743055555547</c:v>
                </c:pt>
                <c:pt idx="49">
                  <c:v>109.9375</c:v>
                </c:pt>
                <c:pt idx="50">
                  <c:v>119.78125</c:v>
                </c:pt>
                <c:pt idx="51">
                  <c:v>121.777777777781</c:v>
                </c:pt>
                <c:pt idx="52">
                  <c:v>123.902777777781</c:v>
                </c:pt>
                <c:pt idx="53">
                  <c:v>125.777777777781</c:v>
                </c:pt>
                <c:pt idx="54">
                  <c:v>127.8923611111168</c:v>
                </c:pt>
                <c:pt idx="55">
                  <c:v>129.78125</c:v>
                </c:pt>
                <c:pt idx="56">
                  <c:v>131.89583333333579</c:v>
                </c:pt>
                <c:pt idx="57">
                  <c:v>133.48958333333579</c:v>
                </c:pt>
                <c:pt idx="58">
                  <c:v>135.78125</c:v>
                </c:pt>
                <c:pt idx="59">
                  <c:v>137.91666666667149</c:v>
                </c:pt>
                <c:pt idx="60">
                  <c:v>139.77430555555469</c:v>
                </c:pt>
                <c:pt idx="61">
                  <c:v>146.78125</c:v>
                </c:pt>
                <c:pt idx="62">
                  <c:v>148.77430555555469</c:v>
                </c:pt>
                <c:pt idx="63">
                  <c:v>150.7673611111168</c:v>
                </c:pt>
                <c:pt idx="64">
                  <c:v>153.7673611111168</c:v>
                </c:pt>
                <c:pt idx="65">
                  <c:v>155.77430555555469</c:v>
                </c:pt>
                <c:pt idx="66">
                  <c:v>157.77777777778101</c:v>
                </c:pt>
                <c:pt idx="67">
                  <c:v>160.77083333333579</c:v>
                </c:pt>
                <c:pt idx="68">
                  <c:v>162.77777777778101</c:v>
                </c:pt>
                <c:pt idx="69">
                  <c:v>164.77430555555469</c:v>
                </c:pt>
                <c:pt idx="70">
                  <c:v>167.78125</c:v>
                </c:pt>
                <c:pt idx="71">
                  <c:v>171.03125</c:v>
                </c:pt>
                <c:pt idx="72">
                  <c:v>173.92708333333579</c:v>
                </c:pt>
                <c:pt idx="73">
                  <c:v>175.77430555555469</c:v>
                </c:pt>
                <c:pt idx="74">
                  <c:v>177.78125</c:v>
                </c:pt>
                <c:pt idx="75">
                  <c:v>180.125</c:v>
                </c:pt>
                <c:pt idx="76">
                  <c:v>181.78125</c:v>
                </c:pt>
                <c:pt idx="77">
                  <c:v>183.7673611111168</c:v>
                </c:pt>
                <c:pt idx="78">
                  <c:v>185.77430555555469</c:v>
                </c:pt>
                <c:pt idx="79">
                  <c:v>188.77083333333579</c:v>
                </c:pt>
                <c:pt idx="80">
                  <c:v>193.8923611111168</c:v>
                </c:pt>
                <c:pt idx="81">
                  <c:v>195.77083333333579</c:v>
                </c:pt>
                <c:pt idx="82">
                  <c:v>197.77430555555469</c:v>
                </c:pt>
                <c:pt idx="83">
                  <c:v>199.77777777778101</c:v>
                </c:pt>
              </c:numCache>
            </c:numRef>
          </c:xVal>
          <c:yVal>
            <c:numRef>
              <c:f>'acid-water-inoc - test'!$E$25:$E$117</c:f>
              <c:numCache>
                <c:formatCode>General</c:formatCode>
                <c:ptCount val="84"/>
                <c:pt idx="0">
                  <c:v>2</c:v>
                </c:pt>
                <c:pt idx="3">
                  <c:v>7.52</c:v>
                </c:pt>
                <c:pt idx="4">
                  <c:v>7.78</c:v>
                </c:pt>
                <c:pt idx="5">
                  <c:v>7.97</c:v>
                </c:pt>
                <c:pt idx="6">
                  <c:v>7.87</c:v>
                </c:pt>
                <c:pt idx="7">
                  <c:v>7.94</c:v>
                </c:pt>
                <c:pt idx="8">
                  <c:v>7.97</c:v>
                </c:pt>
                <c:pt idx="10">
                  <c:v>7.96</c:v>
                </c:pt>
                <c:pt idx="11">
                  <c:v>7.83</c:v>
                </c:pt>
                <c:pt idx="12">
                  <c:v>7.79</c:v>
                </c:pt>
                <c:pt idx="13">
                  <c:v>7.85</c:v>
                </c:pt>
                <c:pt idx="14">
                  <c:v>7.84</c:v>
                </c:pt>
                <c:pt idx="15">
                  <c:v>7.6599999999999957</c:v>
                </c:pt>
                <c:pt idx="16">
                  <c:v>7.18</c:v>
                </c:pt>
                <c:pt idx="17">
                  <c:v>7.76</c:v>
                </c:pt>
                <c:pt idx="18">
                  <c:v>7.71</c:v>
                </c:pt>
                <c:pt idx="19">
                  <c:v>7.55</c:v>
                </c:pt>
                <c:pt idx="20">
                  <c:v>7.6499999999999977</c:v>
                </c:pt>
                <c:pt idx="21">
                  <c:v>7.52</c:v>
                </c:pt>
                <c:pt idx="22">
                  <c:v>7.51</c:v>
                </c:pt>
                <c:pt idx="23">
                  <c:v>7.6199999999999957</c:v>
                </c:pt>
                <c:pt idx="24">
                  <c:v>7.45</c:v>
                </c:pt>
                <c:pt idx="25">
                  <c:v>7.87</c:v>
                </c:pt>
                <c:pt idx="26">
                  <c:v>7.35</c:v>
                </c:pt>
                <c:pt idx="27">
                  <c:v>7.63</c:v>
                </c:pt>
                <c:pt idx="28">
                  <c:v>7.79</c:v>
                </c:pt>
                <c:pt idx="29">
                  <c:v>7.46</c:v>
                </c:pt>
                <c:pt idx="30">
                  <c:v>7.5</c:v>
                </c:pt>
                <c:pt idx="31">
                  <c:v>7.8</c:v>
                </c:pt>
                <c:pt idx="32">
                  <c:v>7.42</c:v>
                </c:pt>
                <c:pt idx="33">
                  <c:v>7.41</c:v>
                </c:pt>
                <c:pt idx="34">
                  <c:v>7.5</c:v>
                </c:pt>
                <c:pt idx="35">
                  <c:v>7.6199999999999957</c:v>
                </c:pt>
                <c:pt idx="36">
                  <c:v>7.55</c:v>
                </c:pt>
                <c:pt idx="37">
                  <c:v>7.56</c:v>
                </c:pt>
                <c:pt idx="38">
                  <c:v>7.5</c:v>
                </c:pt>
                <c:pt idx="39">
                  <c:v>7.51</c:v>
                </c:pt>
                <c:pt idx="40">
                  <c:v>7.34</c:v>
                </c:pt>
                <c:pt idx="41">
                  <c:v>7.37</c:v>
                </c:pt>
                <c:pt idx="42">
                  <c:v>7.47</c:v>
                </c:pt>
                <c:pt idx="43">
                  <c:v>7.56</c:v>
                </c:pt>
                <c:pt idx="44">
                  <c:v>7.58</c:v>
                </c:pt>
              </c:numCache>
            </c:numRef>
          </c:yVal>
          <c:smooth val="0"/>
        </c:ser>
        <c:dLbls>
          <c:showLegendKey val="0"/>
          <c:showVal val="0"/>
          <c:showCatName val="0"/>
          <c:showSerName val="0"/>
          <c:showPercent val="0"/>
          <c:showBubbleSize val="0"/>
        </c:dLbls>
        <c:axId val="289811096"/>
        <c:axId val="148379224"/>
      </c:scatterChart>
      <c:valAx>
        <c:axId val="289811096"/>
        <c:scaling>
          <c:orientation val="minMax"/>
          <c:max val="250"/>
        </c:scaling>
        <c:delete val="0"/>
        <c:axPos val="b"/>
        <c:title>
          <c:tx>
            <c:rich>
              <a:bodyPr/>
              <a:lstStyle/>
              <a:p>
                <a:pPr>
                  <a:defRPr sz="800"/>
                </a:pPr>
                <a:r>
                  <a:rPr lang="en-US" sz="800"/>
                  <a:t>time [days]</a:t>
                </a:r>
              </a:p>
            </c:rich>
          </c:tx>
          <c:layout>
            <c:manualLayout>
              <c:xMode val="edge"/>
              <c:yMode val="edge"/>
              <c:x val="0.46739354289519403"/>
              <c:y val="0.91611185086551306"/>
            </c:manualLayout>
          </c:layout>
          <c:overlay val="0"/>
        </c:title>
        <c:numFmt formatCode="General" sourceLinked="1"/>
        <c:majorTickMark val="in"/>
        <c:minorTickMark val="in"/>
        <c:tickLblPos val="nextTo"/>
        <c:txPr>
          <a:bodyPr/>
          <a:lstStyle/>
          <a:p>
            <a:pPr>
              <a:defRPr sz="600"/>
            </a:pPr>
            <a:endParaRPr lang="en-US"/>
          </a:p>
        </c:txPr>
        <c:crossAx val="148379224"/>
        <c:crosses val="autoZero"/>
        <c:crossBetween val="midCat"/>
      </c:valAx>
      <c:valAx>
        <c:axId val="148379224"/>
        <c:scaling>
          <c:orientation val="minMax"/>
        </c:scaling>
        <c:delete val="0"/>
        <c:axPos val="l"/>
        <c:title>
          <c:tx>
            <c:rich>
              <a:bodyPr rot="-5400000" vert="horz"/>
              <a:lstStyle/>
              <a:p>
                <a:pPr>
                  <a:defRPr sz="800"/>
                </a:pPr>
                <a:r>
                  <a:rPr lang="en-US" sz="800"/>
                  <a:t>pH</a:t>
                </a:r>
              </a:p>
            </c:rich>
          </c:tx>
          <c:layout>
            <c:manualLayout>
              <c:xMode val="edge"/>
              <c:yMode val="edge"/>
              <c:x val="1.3077593722755E-2"/>
              <c:y val="0.42764555395955001"/>
            </c:manualLayout>
          </c:layout>
          <c:overlay val="0"/>
        </c:title>
        <c:numFmt formatCode="General" sourceLinked="1"/>
        <c:majorTickMark val="in"/>
        <c:minorTickMark val="in"/>
        <c:tickLblPos val="nextTo"/>
        <c:txPr>
          <a:bodyPr/>
          <a:lstStyle/>
          <a:p>
            <a:pPr>
              <a:defRPr sz="600"/>
            </a:pPr>
            <a:endParaRPr lang="en-US"/>
          </a:p>
        </c:txPr>
        <c:crossAx val="289811096"/>
        <c:crosses val="autoZero"/>
        <c:crossBetween val="midCat"/>
      </c:valAx>
      <c:spPr>
        <a:ln>
          <a:solidFill>
            <a:sysClr val="windowText" lastClr="000000"/>
          </a:solidFill>
        </a:ln>
      </c:spPr>
    </c:plotArea>
    <c:plotVisOnly val="1"/>
    <c:dispBlanksAs val="gap"/>
    <c:showDLblsOverMax val="0"/>
  </c:chart>
  <c:spPr>
    <a:ln>
      <a:noFill/>
    </a:ln>
  </c:sp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a:lstStyle/>
          <a:p>
            <a:pPr>
              <a:defRPr sz="800"/>
            </a:pPr>
            <a:r>
              <a:rPr lang="en-US" sz="800"/>
              <a:t>(f) blend</a:t>
            </a:r>
          </a:p>
        </c:rich>
      </c:tx>
      <c:layout>
        <c:manualLayout>
          <c:xMode val="edge"/>
          <c:yMode val="edge"/>
          <c:x val="0.403430882400863"/>
          <c:y val="2.6631158455392798E-2"/>
        </c:manualLayout>
      </c:layout>
      <c:overlay val="0"/>
    </c:title>
    <c:autoTitleDeleted val="0"/>
    <c:plotArea>
      <c:layout>
        <c:manualLayout>
          <c:layoutTarget val="inner"/>
          <c:xMode val="edge"/>
          <c:yMode val="edge"/>
          <c:x val="0.125872770586752"/>
          <c:y val="0.14647137150466"/>
          <c:w val="0.81485926761877503"/>
          <c:h val="0.71642377093009801"/>
        </c:manualLayout>
      </c:layout>
      <c:scatterChart>
        <c:scatterStyle val="lineMarker"/>
        <c:varyColors val="0"/>
        <c:ser>
          <c:idx val="0"/>
          <c:order val="0"/>
          <c:tx>
            <c:v>mix - WATER</c:v>
          </c:tx>
          <c:spPr>
            <a:ln w="47625">
              <a:noFill/>
            </a:ln>
          </c:spPr>
          <c:marker>
            <c:symbol val="diamond"/>
            <c:size val="5"/>
            <c:spPr>
              <a:ln>
                <a:solidFill>
                  <a:srgbClr val="1F497D"/>
                </a:solidFill>
              </a:ln>
            </c:spPr>
          </c:marker>
          <c:xVal>
            <c:numRef>
              <c:f>'water only - test holdup'!$D$20:$D$150</c:f>
              <c:numCache>
                <c:formatCode>0</c:formatCode>
                <c:ptCount val="114"/>
                <c:pt idx="0" formatCode="General">
                  <c:v>0</c:v>
                </c:pt>
                <c:pt idx="1">
                  <c:v>1.0381944444452531</c:v>
                </c:pt>
                <c:pt idx="2">
                  <c:v>2.0173611111094938</c:v>
                </c:pt>
                <c:pt idx="3">
                  <c:v>3.0173611111094938</c:v>
                </c:pt>
                <c:pt idx="4">
                  <c:v>4.0173611111094942</c:v>
                </c:pt>
                <c:pt idx="5">
                  <c:v>5.0590277777810124</c:v>
                </c:pt>
                <c:pt idx="6">
                  <c:v>7.0069444444452511</c:v>
                </c:pt>
                <c:pt idx="7">
                  <c:v>8.0277777777810115</c:v>
                </c:pt>
                <c:pt idx="8">
                  <c:v>9.0868055555547507</c:v>
                </c:pt>
                <c:pt idx="9">
                  <c:v>9.9965277777810098</c:v>
                </c:pt>
                <c:pt idx="10">
                  <c:v>11.003472222226261</c:v>
                </c:pt>
                <c:pt idx="11">
                  <c:v>12.003472222226261</c:v>
                </c:pt>
                <c:pt idx="12">
                  <c:v>14.097222222226261</c:v>
                </c:pt>
                <c:pt idx="13">
                  <c:v>14.96527777778101</c:v>
                </c:pt>
                <c:pt idx="14">
                  <c:v>16.034722222226261</c:v>
                </c:pt>
                <c:pt idx="15">
                  <c:v>16.954861111109501</c:v>
                </c:pt>
                <c:pt idx="16">
                  <c:v>17.954861111109501</c:v>
                </c:pt>
                <c:pt idx="17">
                  <c:v>20.3125</c:v>
                </c:pt>
                <c:pt idx="18">
                  <c:v>22.013888888890499</c:v>
                </c:pt>
                <c:pt idx="19">
                  <c:v>22.954861111109501</c:v>
                </c:pt>
                <c:pt idx="20">
                  <c:v>23.923611111109491</c:v>
                </c:pt>
                <c:pt idx="21">
                  <c:v>24.923611111109491</c:v>
                </c:pt>
                <c:pt idx="22">
                  <c:v>25.90277777778099</c:v>
                </c:pt>
                <c:pt idx="23">
                  <c:v>31.916666666664241</c:v>
                </c:pt>
                <c:pt idx="24">
                  <c:v>35.89930555555474</c:v>
                </c:pt>
                <c:pt idx="25">
                  <c:v>37.038194444445253</c:v>
                </c:pt>
                <c:pt idx="26">
                  <c:v>38.875</c:v>
                </c:pt>
                <c:pt idx="27">
                  <c:v>40.027777777780997</c:v>
                </c:pt>
                <c:pt idx="28">
                  <c:v>42.01041666666422</c:v>
                </c:pt>
                <c:pt idx="29">
                  <c:v>43.916666666664213</c:v>
                </c:pt>
                <c:pt idx="30">
                  <c:v>45.86250000000291</c:v>
                </c:pt>
                <c:pt idx="31">
                  <c:v>47.069444444445253</c:v>
                </c:pt>
                <c:pt idx="32">
                  <c:v>47.881944444445232</c:v>
                </c:pt>
                <c:pt idx="33">
                  <c:v>49.86805555555474</c:v>
                </c:pt>
                <c:pt idx="34">
                  <c:v>52.24305555555474</c:v>
                </c:pt>
                <c:pt idx="35">
                  <c:v>53.111111111109501</c:v>
                </c:pt>
                <c:pt idx="36">
                  <c:v>55.96875</c:v>
                </c:pt>
                <c:pt idx="37">
                  <c:v>58.069444444445253</c:v>
                </c:pt>
                <c:pt idx="38">
                  <c:v>58.944444444445232</c:v>
                </c:pt>
                <c:pt idx="39">
                  <c:v>60.861111111109501</c:v>
                </c:pt>
                <c:pt idx="40">
                  <c:v>63.045138888890499</c:v>
                </c:pt>
                <c:pt idx="41">
                  <c:v>64.871527777780983</c:v>
                </c:pt>
                <c:pt idx="42">
                  <c:v>66.86111111110948</c:v>
                </c:pt>
                <c:pt idx="43">
                  <c:v>68.95486111110948</c:v>
                </c:pt>
                <c:pt idx="44">
                  <c:v>71.04861111110948</c:v>
                </c:pt>
                <c:pt idx="45">
                  <c:v>74.86111111110948</c:v>
                </c:pt>
                <c:pt idx="46">
                  <c:v>77.03472222222625</c:v>
                </c:pt>
                <c:pt idx="47">
                  <c:v>78.871527777780983</c:v>
                </c:pt>
                <c:pt idx="48">
                  <c:v>80.871527777780983</c:v>
                </c:pt>
                <c:pt idx="49">
                  <c:v>84.874999999999986</c:v>
                </c:pt>
                <c:pt idx="50">
                  <c:v>87.100694444445267</c:v>
                </c:pt>
                <c:pt idx="51">
                  <c:v>88.868055555554704</c:v>
                </c:pt>
                <c:pt idx="52">
                  <c:v>90.996527777781012</c:v>
                </c:pt>
                <c:pt idx="53">
                  <c:v>92.86111111110948</c:v>
                </c:pt>
                <c:pt idx="54">
                  <c:v>94.86111111110948</c:v>
                </c:pt>
                <c:pt idx="55">
                  <c:v>96.934027777781012</c:v>
                </c:pt>
                <c:pt idx="56">
                  <c:v>98.888888888890463</c:v>
                </c:pt>
                <c:pt idx="57">
                  <c:v>100.9479166666642</c:v>
                </c:pt>
                <c:pt idx="58">
                  <c:v>102.86111111110949</c:v>
                </c:pt>
                <c:pt idx="59">
                  <c:v>104.9618055555547</c:v>
                </c:pt>
                <c:pt idx="60">
                  <c:v>107.0416666666642</c:v>
                </c:pt>
                <c:pt idx="61">
                  <c:v>108.8645833333358</c:v>
                </c:pt>
                <c:pt idx="62">
                  <c:v>110.996527777781</c:v>
                </c:pt>
                <c:pt idx="63">
                  <c:v>112.86111111110949</c:v>
                </c:pt>
                <c:pt idx="64">
                  <c:v>114.86111111110949</c:v>
                </c:pt>
                <c:pt idx="65">
                  <c:v>118.98611111110949</c:v>
                </c:pt>
                <c:pt idx="66">
                  <c:v>120.86111111110949</c:v>
                </c:pt>
                <c:pt idx="67">
                  <c:v>122.86111111110949</c:v>
                </c:pt>
                <c:pt idx="68">
                  <c:v>126.8645833333358</c:v>
                </c:pt>
                <c:pt idx="69">
                  <c:v>128.85763888889051</c:v>
                </c:pt>
                <c:pt idx="70">
                  <c:v>133.02777777778101</c:v>
                </c:pt>
                <c:pt idx="71">
                  <c:v>135.11805555555469</c:v>
                </c:pt>
                <c:pt idx="72">
                  <c:v>136.86458333333579</c:v>
                </c:pt>
                <c:pt idx="73">
                  <c:v>140.88194444444531</c:v>
                </c:pt>
                <c:pt idx="74">
                  <c:v>142.86458333333579</c:v>
                </c:pt>
                <c:pt idx="75">
                  <c:v>153.00347222222629</c:v>
                </c:pt>
                <c:pt idx="76">
                  <c:v>157.85416666666421</c:v>
                </c:pt>
                <c:pt idx="77">
                  <c:v>160.01736111110949</c:v>
                </c:pt>
                <c:pt idx="78">
                  <c:v>161.85763888889051</c:v>
                </c:pt>
                <c:pt idx="79">
                  <c:v>168.02430555555469</c:v>
                </c:pt>
                <c:pt idx="80">
                  <c:v>169.86111111110949</c:v>
                </c:pt>
                <c:pt idx="81">
                  <c:v>173.98263888889051</c:v>
                </c:pt>
                <c:pt idx="82">
                  <c:v>175.85763888889051</c:v>
                </c:pt>
                <c:pt idx="83">
                  <c:v>177.97222222222629</c:v>
                </c:pt>
                <c:pt idx="84">
                  <c:v>179.86111111110949</c:v>
                </c:pt>
                <c:pt idx="85">
                  <c:v>181.97569444444531</c:v>
                </c:pt>
                <c:pt idx="86">
                  <c:v>183.86111111110949</c:v>
                </c:pt>
                <c:pt idx="87">
                  <c:v>185.86111111110949</c:v>
                </c:pt>
                <c:pt idx="88">
                  <c:v>187.99652777778101</c:v>
                </c:pt>
                <c:pt idx="89">
                  <c:v>189.85416666666421</c:v>
                </c:pt>
                <c:pt idx="90">
                  <c:v>196.86111111110949</c:v>
                </c:pt>
                <c:pt idx="91">
                  <c:v>198.85416666666421</c:v>
                </c:pt>
                <c:pt idx="92">
                  <c:v>200.84722222222629</c:v>
                </c:pt>
                <c:pt idx="93">
                  <c:v>203.84722222222629</c:v>
                </c:pt>
                <c:pt idx="94">
                  <c:v>205.85416666666421</c:v>
                </c:pt>
                <c:pt idx="95">
                  <c:v>207.85763888889051</c:v>
                </c:pt>
                <c:pt idx="96">
                  <c:v>210.85069444444531</c:v>
                </c:pt>
                <c:pt idx="97">
                  <c:v>212.85763888889051</c:v>
                </c:pt>
                <c:pt idx="98">
                  <c:v>214.85416666666421</c:v>
                </c:pt>
                <c:pt idx="99">
                  <c:v>217.86111111110949</c:v>
                </c:pt>
                <c:pt idx="100">
                  <c:v>221.11111111110949</c:v>
                </c:pt>
                <c:pt idx="101">
                  <c:v>224.00694444444531</c:v>
                </c:pt>
                <c:pt idx="102">
                  <c:v>225.85416666666421</c:v>
                </c:pt>
                <c:pt idx="103">
                  <c:v>227.86111111110949</c:v>
                </c:pt>
                <c:pt idx="104">
                  <c:v>230.20486111110949</c:v>
                </c:pt>
                <c:pt idx="105">
                  <c:v>231.86111111110949</c:v>
                </c:pt>
                <c:pt idx="106">
                  <c:v>233.84722222222629</c:v>
                </c:pt>
                <c:pt idx="107">
                  <c:v>235.85416666666421</c:v>
                </c:pt>
                <c:pt idx="108">
                  <c:v>238.85069444444531</c:v>
                </c:pt>
                <c:pt idx="109">
                  <c:v>241.85416666666421</c:v>
                </c:pt>
                <c:pt idx="110">
                  <c:v>243.97222222222629</c:v>
                </c:pt>
                <c:pt idx="111">
                  <c:v>245.85069444444531</c:v>
                </c:pt>
                <c:pt idx="112">
                  <c:v>247.85416666666421</c:v>
                </c:pt>
                <c:pt idx="113">
                  <c:v>249.85763888889051</c:v>
                </c:pt>
              </c:numCache>
            </c:numRef>
          </c:xVal>
          <c:yVal>
            <c:numRef>
              <c:f>'water only - test holdup'!$I$20:$I$150</c:f>
              <c:numCache>
                <c:formatCode>General</c:formatCode>
                <c:ptCount val="114"/>
                <c:pt idx="10">
                  <c:v>260</c:v>
                </c:pt>
                <c:pt idx="11">
                  <c:v>240</c:v>
                </c:pt>
                <c:pt idx="12">
                  <c:v>241</c:v>
                </c:pt>
                <c:pt idx="13">
                  <c:v>251</c:v>
                </c:pt>
                <c:pt idx="14">
                  <c:v>228</c:v>
                </c:pt>
                <c:pt idx="15">
                  <c:v>249</c:v>
                </c:pt>
                <c:pt idx="16">
                  <c:v>246</c:v>
                </c:pt>
                <c:pt idx="17">
                  <c:v>249</c:v>
                </c:pt>
                <c:pt idx="18">
                  <c:v>211</c:v>
                </c:pt>
                <c:pt idx="19">
                  <c:v>212</c:v>
                </c:pt>
                <c:pt idx="20">
                  <c:v>241</c:v>
                </c:pt>
                <c:pt idx="21">
                  <c:v>261</c:v>
                </c:pt>
                <c:pt idx="22">
                  <c:v>258</c:v>
                </c:pt>
                <c:pt idx="23">
                  <c:v>246</c:v>
                </c:pt>
                <c:pt idx="24">
                  <c:v>278</c:v>
                </c:pt>
                <c:pt idx="25">
                  <c:v>241</c:v>
                </c:pt>
                <c:pt idx="26">
                  <c:v>305</c:v>
                </c:pt>
                <c:pt idx="27">
                  <c:v>229</c:v>
                </c:pt>
                <c:pt idx="28">
                  <c:v>247</c:v>
                </c:pt>
                <c:pt idx="29">
                  <c:v>224</c:v>
                </c:pt>
                <c:pt idx="30">
                  <c:v>267</c:v>
                </c:pt>
                <c:pt idx="31">
                  <c:v>271</c:v>
                </c:pt>
                <c:pt idx="32">
                  <c:v>257</c:v>
                </c:pt>
                <c:pt idx="33">
                  <c:v>262</c:v>
                </c:pt>
                <c:pt idx="34">
                  <c:v>257</c:v>
                </c:pt>
                <c:pt idx="35">
                  <c:v>226</c:v>
                </c:pt>
                <c:pt idx="36">
                  <c:v>271</c:v>
                </c:pt>
                <c:pt idx="37">
                  <c:v>260</c:v>
                </c:pt>
                <c:pt idx="38">
                  <c:v>266</c:v>
                </c:pt>
                <c:pt idx="39">
                  <c:v>263</c:v>
                </c:pt>
                <c:pt idx="41">
                  <c:v>303</c:v>
                </c:pt>
                <c:pt idx="42">
                  <c:v>237</c:v>
                </c:pt>
                <c:pt idx="43">
                  <c:v>248</c:v>
                </c:pt>
                <c:pt idx="44">
                  <c:v>223</c:v>
                </c:pt>
                <c:pt idx="45">
                  <c:v>239</c:v>
                </c:pt>
                <c:pt idx="46">
                  <c:v>227</c:v>
                </c:pt>
                <c:pt idx="47">
                  <c:v>218</c:v>
                </c:pt>
                <c:pt idx="48">
                  <c:v>207</c:v>
                </c:pt>
                <c:pt idx="49">
                  <c:v>244</c:v>
                </c:pt>
                <c:pt idx="50">
                  <c:v>265</c:v>
                </c:pt>
                <c:pt idx="51">
                  <c:v>250</c:v>
                </c:pt>
                <c:pt idx="52">
                  <c:v>263</c:v>
                </c:pt>
                <c:pt idx="53">
                  <c:v>244</c:v>
                </c:pt>
                <c:pt idx="54">
                  <c:v>229</c:v>
                </c:pt>
                <c:pt idx="55">
                  <c:v>261</c:v>
                </c:pt>
                <c:pt idx="56">
                  <c:v>239</c:v>
                </c:pt>
                <c:pt idx="57">
                  <c:v>239</c:v>
                </c:pt>
                <c:pt idx="58">
                  <c:v>197</c:v>
                </c:pt>
                <c:pt idx="59">
                  <c:v>223</c:v>
                </c:pt>
                <c:pt idx="60">
                  <c:v>252</c:v>
                </c:pt>
                <c:pt idx="61">
                  <c:v>237</c:v>
                </c:pt>
                <c:pt idx="62">
                  <c:v>219</c:v>
                </c:pt>
                <c:pt idx="63">
                  <c:v>216</c:v>
                </c:pt>
                <c:pt idx="64">
                  <c:v>237</c:v>
                </c:pt>
                <c:pt idx="65">
                  <c:v>223</c:v>
                </c:pt>
                <c:pt idx="66">
                  <c:v>223</c:v>
                </c:pt>
                <c:pt idx="67">
                  <c:v>223</c:v>
                </c:pt>
                <c:pt idx="68">
                  <c:v>247</c:v>
                </c:pt>
                <c:pt idx="70">
                  <c:v>230</c:v>
                </c:pt>
                <c:pt idx="71">
                  <c:v>240</c:v>
                </c:pt>
                <c:pt idx="73">
                  <c:v>225</c:v>
                </c:pt>
                <c:pt idx="74">
                  <c:v>232</c:v>
                </c:pt>
                <c:pt idx="75">
                  <c:v>256</c:v>
                </c:pt>
                <c:pt idx="76">
                  <c:v>261</c:v>
                </c:pt>
                <c:pt idx="77">
                  <c:v>248</c:v>
                </c:pt>
                <c:pt idx="78">
                  <c:v>249</c:v>
                </c:pt>
                <c:pt idx="79">
                  <c:v>242</c:v>
                </c:pt>
                <c:pt idx="81">
                  <c:v>211</c:v>
                </c:pt>
                <c:pt idx="82">
                  <c:v>240</c:v>
                </c:pt>
                <c:pt idx="85">
                  <c:v>235</c:v>
                </c:pt>
                <c:pt idx="86">
                  <c:v>248</c:v>
                </c:pt>
                <c:pt idx="87">
                  <c:v>260</c:v>
                </c:pt>
                <c:pt idx="88">
                  <c:v>260</c:v>
                </c:pt>
                <c:pt idx="89">
                  <c:v>257</c:v>
                </c:pt>
                <c:pt idx="90">
                  <c:v>261</c:v>
                </c:pt>
                <c:pt idx="91">
                  <c:v>248</c:v>
                </c:pt>
                <c:pt idx="92">
                  <c:v>256</c:v>
                </c:pt>
                <c:pt idx="93">
                  <c:v>191</c:v>
                </c:pt>
                <c:pt idx="94">
                  <c:v>258</c:v>
                </c:pt>
                <c:pt idx="95">
                  <c:v>238</c:v>
                </c:pt>
                <c:pt idx="96">
                  <c:v>260</c:v>
                </c:pt>
                <c:pt idx="97">
                  <c:v>283</c:v>
                </c:pt>
                <c:pt idx="98">
                  <c:v>275</c:v>
                </c:pt>
                <c:pt idx="99">
                  <c:v>233</c:v>
                </c:pt>
                <c:pt idx="100">
                  <c:v>259</c:v>
                </c:pt>
                <c:pt idx="101">
                  <c:v>251</c:v>
                </c:pt>
                <c:pt idx="102">
                  <c:v>247</c:v>
                </c:pt>
                <c:pt idx="103">
                  <c:v>250</c:v>
                </c:pt>
                <c:pt idx="104">
                  <c:v>245</c:v>
                </c:pt>
                <c:pt idx="105">
                  <c:v>236</c:v>
                </c:pt>
                <c:pt idx="106">
                  <c:v>240</c:v>
                </c:pt>
                <c:pt idx="107">
                  <c:v>248</c:v>
                </c:pt>
                <c:pt idx="108">
                  <c:v>239</c:v>
                </c:pt>
                <c:pt idx="109">
                  <c:v>245</c:v>
                </c:pt>
                <c:pt idx="110">
                  <c:v>270</c:v>
                </c:pt>
                <c:pt idx="111">
                  <c:v>254</c:v>
                </c:pt>
                <c:pt idx="112">
                  <c:v>252</c:v>
                </c:pt>
                <c:pt idx="113">
                  <c:v>241</c:v>
                </c:pt>
              </c:numCache>
            </c:numRef>
          </c:yVal>
          <c:smooth val="0"/>
        </c:ser>
        <c:ser>
          <c:idx val="2"/>
          <c:order val="1"/>
          <c:tx>
            <c:v>mix - ABIOTIC</c:v>
          </c:tx>
          <c:spPr>
            <a:ln w="47625">
              <a:noFill/>
            </a:ln>
          </c:spPr>
          <c:marker>
            <c:symbol val="square"/>
            <c:size val="5"/>
            <c:spPr>
              <a:solidFill>
                <a:schemeClr val="accent5">
                  <a:lumMod val="75000"/>
                </a:schemeClr>
              </a:solidFill>
              <a:ln>
                <a:solidFill>
                  <a:schemeClr val="accent5">
                    <a:lumMod val="50000"/>
                  </a:schemeClr>
                </a:solidFill>
              </a:ln>
            </c:spPr>
          </c:marker>
          <c:xVal>
            <c:numRef>
              <c:f>'acid-water only - test'!$D$24:$D$116</c:f>
              <c:numCache>
                <c:formatCode>0</c:formatCode>
                <c:ptCount val="81"/>
                <c:pt idx="0" formatCode="General">
                  <c:v>0</c:v>
                </c:pt>
                <c:pt idx="1">
                  <c:v>1.138888888890506</c:v>
                </c:pt>
                <c:pt idx="2">
                  <c:v>2.163194444445252</c:v>
                </c:pt>
                <c:pt idx="3">
                  <c:v>3.03125</c:v>
                </c:pt>
                <c:pt idx="4">
                  <c:v>4.1736111111167702</c:v>
                </c:pt>
                <c:pt idx="5">
                  <c:v>5.8888888888905058</c:v>
                </c:pt>
                <c:pt idx="6">
                  <c:v>7.9895833333357587</c:v>
                </c:pt>
                <c:pt idx="7">
                  <c:v>8.8645833333357604</c:v>
                </c:pt>
                <c:pt idx="8">
                  <c:v>10.78125</c:v>
                </c:pt>
                <c:pt idx="9">
                  <c:v>12.96527777778101</c:v>
                </c:pt>
                <c:pt idx="10">
                  <c:v>14.791666666671521</c:v>
                </c:pt>
                <c:pt idx="11">
                  <c:v>16.78125</c:v>
                </c:pt>
                <c:pt idx="12">
                  <c:v>18.875</c:v>
                </c:pt>
                <c:pt idx="13">
                  <c:v>20.96875</c:v>
                </c:pt>
                <c:pt idx="14">
                  <c:v>22.868055555554751</c:v>
                </c:pt>
                <c:pt idx="15">
                  <c:v>24.78125</c:v>
                </c:pt>
                <c:pt idx="16">
                  <c:v>26.95486111111677</c:v>
                </c:pt>
                <c:pt idx="17">
                  <c:v>28.791666666671521</c:v>
                </c:pt>
                <c:pt idx="18">
                  <c:v>30.791666666671521</c:v>
                </c:pt>
                <c:pt idx="19">
                  <c:v>37.020833333335752</c:v>
                </c:pt>
                <c:pt idx="20">
                  <c:v>38.788194444445253</c:v>
                </c:pt>
                <c:pt idx="21">
                  <c:v>40.916666666671503</c:v>
                </c:pt>
                <c:pt idx="22">
                  <c:v>42.78125</c:v>
                </c:pt>
                <c:pt idx="23">
                  <c:v>44.78125</c:v>
                </c:pt>
                <c:pt idx="24">
                  <c:v>46.854166666671503</c:v>
                </c:pt>
                <c:pt idx="25">
                  <c:v>52.78125</c:v>
                </c:pt>
                <c:pt idx="26">
                  <c:v>54.881944444445232</c:v>
                </c:pt>
                <c:pt idx="27">
                  <c:v>56.961805555554747</c:v>
                </c:pt>
                <c:pt idx="28">
                  <c:v>60.916666666671503</c:v>
                </c:pt>
                <c:pt idx="29">
                  <c:v>62.78125</c:v>
                </c:pt>
                <c:pt idx="30">
                  <c:v>64.78125</c:v>
                </c:pt>
                <c:pt idx="31">
                  <c:v>68.90625</c:v>
                </c:pt>
                <c:pt idx="32">
                  <c:v>70.78125</c:v>
                </c:pt>
                <c:pt idx="33">
                  <c:v>72.78125</c:v>
                </c:pt>
                <c:pt idx="34">
                  <c:v>76.78472222222625</c:v>
                </c:pt>
                <c:pt idx="35">
                  <c:v>78.777777777780955</c:v>
                </c:pt>
                <c:pt idx="36">
                  <c:v>82.947916666671503</c:v>
                </c:pt>
                <c:pt idx="37">
                  <c:v>85.038194444445267</c:v>
                </c:pt>
                <c:pt idx="38">
                  <c:v>86.78472222222625</c:v>
                </c:pt>
                <c:pt idx="39">
                  <c:v>90.80208333333573</c:v>
                </c:pt>
                <c:pt idx="40">
                  <c:v>92.78472222222625</c:v>
                </c:pt>
                <c:pt idx="41">
                  <c:v>100.79513888889051</c:v>
                </c:pt>
                <c:pt idx="42">
                  <c:v>102.9236111111168</c:v>
                </c:pt>
                <c:pt idx="43">
                  <c:v>107.7743055555547</c:v>
                </c:pt>
                <c:pt idx="44">
                  <c:v>109.9375</c:v>
                </c:pt>
                <c:pt idx="45">
                  <c:v>111.777777777781</c:v>
                </c:pt>
                <c:pt idx="46">
                  <c:v>117.9444444444453</c:v>
                </c:pt>
                <c:pt idx="47">
                  <c:v>119.78125</c:v>
                </c:pt>
                <c:pt idx="48">
                  <c:v>121.777777777781</c:v>
                </c:pt>
                <c:pt idx="49">
                  <c:v>123.902777777781</c:v>
                </c:pt>
                <c:pt idx="50">
                  <c:v>125.777777777781</c:v>
                </c:pt>
                <c:pt idx="51">
                  <c:v>127.8923611111168</c:v>
                </c:pt>
                <c:pt idx="52">
                  <c:v>129.78125</c:v>
                </c:pt>
                <c:pt idx="53">
                  <c:v>131.89583333333579</c:v>
                </c:pt>
                <c:pt idx="54">
                  <c:v>133.78125</c:v>
                </c:pt>
                <c:pt idx="55">
                  <c:v>135.78125</c:v>
                </c:pt>
                <c:pt idx="56">
                  <c:v>139.77430555555469</c:v>
                </c:pt>
                <c:pt idx="57">
                  <c:v>146.78125</c:v>
                </c:pt>
                <c:pt idx="58">
                  <c:v>148.77430555555469</c:v>
                </c:pt>
                <c:pt idx="59">
                  <c:v>150.7673611111168</c:v>
                </c:pt>
                <c:pt idx="60">
                  <c:v>153.7673611111168</c:v>
                </c:pt>
                <c:pt idx="61">
                  <c:v>155.77430555555469</c:v>
                </c:pt>
                <c:pt idx="62">
                  <c:v>157.77777777778101</c:v>
                </c:pt>
                <c:pt idx="63">
                  <c:v>160.77083333333579</c:v>
                </c:pt>
                <c:pt idx="64">
                  <c:v>162.77777777778101</c:v>
                </c:pt>
                <c:pt idx="65">
                  <c:v>164.77430555555469</c:v>
                </c:pt>
                <c:pt idx="66">
                  <c:v>167.48958333333579</c:v>
                </c:pt>
                <c:pt idx="67">
                  <c:v>171.03125</c:v>
                </c:pt>
                <c:pt idx="68">
                  <c:v>173.92708333333579</c:v>
                </c:pt>
                <c:pt idx="69">
                  <c:v>175.77430555555469</c:v>
                </c:pt>
                <c:pt idx="70">
                  <c:v>177.78125</c:v>
                </c:pt>
                <c:pt idx="71">
                  <c:v>180.125</c:v>
                </c:pt>
                <c:pt idx="72">
                  <c:v>181.78125</c:v>
                </c:pt>
                <c:pt idx="73">
                  <c:v>183.7673611111168</c:v>
                </c:pt>
                <c:pt idx="74">
                  <c:v>185.77430555555469</c:v>
                </c:pt>
                <c:pt idx="75">
                  <c:v>188.77083333333579</c:v>
                </c:pt>
                <c:pt idx="76">
                  <c:v>191.77430555555469</c:v>
                </c:pt>
                <c:pt idx="77">
                  <c:v>193.8923611111168</c:v>
                </c:pt>
                <c:pt idx="78">
                  <c:v>195.77083333333579</c:v>
                </c:pt>
                <c:pt idx="79">
                  <c:v>197.77430555555469</c:v>
                </c:pt>
                <c:pt idx="80">
                  <c:v>199.77777777778101</c:v>
                </c:pt>
              </c:numCache>
            </c:numRef>
          </c:xVal>
          <c:yVal>
            <c:numRef>
              <c:f>'acid-water only - test'!$I$24:$I$116</c:f>
              <c:numCache>
                <c:formatCode>General</c:formatCode>
                <c:ptCount val="81"/>
                <c:pt idx="2">
                  <c:v>200</c:v>
                </c:pt>
                <c:pt idx="3">
                  <c:v>218</c:v>
                </c:pt>
                <c:pt idx="4">
                  <c:v>223</c:v>
                </c:pt>
                <c:pt idx="5">
                  <c:v>223</c:v>
                </c:pt>
                <c:pt idx="6">
                  <c:v>225</c:v>
                </c:pt>
                <c:pt idx="7">
                  <c:v>206</c:v>
                </c:pt>
                <c:pt idx="8">
                  <c:v>259</c:v>
                </c:pt>
                <c:pt idx="10">
                  <c:v>317</c:v>
                </c:pt>
                <c:pt idx="11">
                  <c:v>266</c:v>
                </c:pt>
                <c:pt idx="12">
                  <c:v>236</c:v>
                </c:pt>
                <c:pt idx="13">
                  <c:v>259</c:v>
                </c:pt>
                <c:pt idx="14">
                  <c:v>278</c:v>
                </c:pt>
                <c:pt idx="15">
                  <c:v>269</c:v>
                </c:pt>
                <c:pt idx="16">
                  <c:v>245</c:v>
                </c:pt>
                <c:pt idx="17">
                  <c:v>276</c:v>
                </c:pt>
                <c:pt idx="18">
                  <c:v>240</c:v>
                </c:pt>
                <c:pt idx="19">
                  <c:v>294</c:v>
                </c:pt>
                <c:pt idx="20">
                  <c:v>260</c:v>
                </c:pt>
                <c:pt idx="21">
                  <c:v>127</c:v>
                </c:pt>
                <c:pt idx="22">
                  <c:v>80</c:v>
                </c:pt>
                <c:pt idx="23">
                  <c:v>93</c:v>
                </c:pt>
                <c:pt idx="24">
                  <c:v>88</c:v>
                </c:pt>
                <c:pt idx="25">
                  <c:v>33</c:v>
                </c:pt>
                <c:pt idx="26">
                  <c:v>46</c:v>
                </c:pt>
                <c:pt idx="27">
                  <c:v>46</c:v>
                </c:pt>
                <c:pt idx="28">
                  <c:v>96</c:v>
                </c:pt>
                <c:pt idx="29">
                  <c:v>112</c:v>
                </c:pt>
                <c:pt idx="30">
                  <c:v>83</c:v>
                </c:pt>
                <c:pt idx="31">
                  <c:v>88</c:v>
                </c:pt>
                <c:pt idx="32">
                  <c:v>116</c:v>
                </c:pt>
                <c:pt idx="33">
                  <c:v>79</c:v>
                </c:pt>
                <c:pt idx="34">
                  <c:v>89</c:v>
                </c:pt>
                <c:pt idx="35">
                  <c:v>87</c:v>
                </c:pt>
                <c:pt idx="36">
                  <c:v>88</c:v>
                </c:pt>
                <c:pt idx="37">
                  <c:v>149</c:v>
                </c:pt>
                <c:pt idx="38">
                  <c:v>149</c:v>
                </c:pt>
                <c:pt idx="39">
                  <c:v>124</c:v>
                </c:pt>
                <c:pt idx="40">
                  <c:v>120</c:v>
                </c:pt>
                <c:pt idx="41">
                  <c:v>125</c:v>
                </c:pt>
                <c:pt idx="42">
                  <c:v>77</c:v>
                </c:pt>
                <c:pt idx="43">
                  <c:v>147</c:v>
                </c:pt>
                <c:pt idx="44">
                  <c:v>142</c:v>
                </c:pt>
                <c:pt idx="45">
                  <c:v>139</c:v>
                </c:pt>
                <c:pt idx="46">
                  <c:v>142</c:v>
                </c:pt>
                <c:pt idx="47">
                  <c:v>137</c:v>
                </c:pt>
                <c:pt idx="48">
                  <c:v>132</c:v>
                </c:pt>
                <c:pt idx="49">
                  <c:v>129</c:v>
                </c:pt>
                <c:pt idx="50">
                  <c:v>172</c:v>
                </c:pt>
                <c:pt idx="53">
                  <c:v>277</c:v>
                </c:pt>
                <c:pt idx="54">
                  <c:v>284</c:v>
                </c:pt>
                <c:pt idx="55">
                  <c:v>297</c:v>
                </c:pt>
                <c:pt idx="56">
                  <c:v>540</c:v>
                </c:pt>
                <c:pt idx="57">
                  <c:v>552</c:v>
                </c:pt>
                <c:pt idx="58">
                  <c:v>548</c:v>
                </c:pt>
                <c:pt idx="59">
                  <c:v>548</c:v>
                </c:pt>
                <c:pt idx="60">
                  <c:v>615</c:v>
                </c:pt>
                <c:pt idx="61">
                  <c:v>555</c:v>
                </c:pt>
                <c:pt idx="62">
                  <c:v>563</c:v>
                </c:pt>
                <c:pt idx="63">
                  <c:v>562</c:v>
                </c:pt>
                <c:pt idx="64">
                  <c:v>562</c:v>
                </c:pt>
                <c:pt idx="65">
                  <c:v>561</c:v>
                </c:pt>
                <c:pt idx="66">
                  <c:v>572</c:v>
                </c:pt>
                <c:pt idx="67">
                  <c:v>569</c:v>
                </c:pt>
                <c:pt idx="68">
                  <c:v>589</c:v>
                </c:pt>
                <c:pt idx="69">
                  <c:v>552</c:v>
                </c:pt>
                <c:pt idx="70">
                  <c:v>539</c:v>
                </c:pt>
                <c:pt idx="71">
                  <c:v>521</c:v>
                </c:pt>
                <c:pt idx="72">
                  <c:v>517</c:v>
                </c:pt>
                <c:pt idx="73">
                  <c:v>520</c:v>
                </c:pt>
                <c:pt idx="74">
                  <c:v>521</c:v>
                </c:pt>
                <c:pt idx="75">
                  <c:v>573</c:v>
                </c:pt>
                <c:pt idx="76">
                  <c:v>590</c:v>
                </c:pt>
                <c:pt idx="77">
                  <c:v>583</c:v>
                </c:pt>
                <c:pt idx="78">
                  <c:v>592</c:v>
                </c:pt>
                <c:pt idx="79">
                  <c:v>550</c:v>
                </c:pt>
                <c:pt idx="80">
                  <c:v>546</c:v>
                </c:pt>
              </c:numCache>
            </c:numRef>
          </c:yVal>
          <c:smooth val="0"/>
        </c:ser>
        <c:ser>
          <c:idx val="3"/>
          <c:order val="2"/>
          <c:tx>
            <c:v>mix - BIOTIC</c:v>
          </c:tx>
          <c:spPr>
            <a:ln w="47625">
              <a:noFill/>
            </a:ln>
          </c:spPr>
          <c:marker>
            <c:symbol val="circle"/>
            <c:size val="5"/>
            <c:spPr>
              <a:solidFill>
                <a:schemeClr val="accent6">
                  <a:lumMod val="60000"/>
                  <a:lumOff val="40000"/>
                </a:schemeClr>
              </a:solidFill>
              <a:ln>
                <a:solidFill>
                  <a:schemeClr val="accent6"/>
                </a:solidFill>
              </a:ln>
            </c:spPr>
          </c:marker>
          <c:xVal>
            <c:numRef>
              <c:f>'acid-water-inoc - test'!$D$25:$D$117</c:f>
              <c:numCache>
                <c:formatCode>0</c:formatCode>
                <c:ptCount val="84"/>
                <c:pt idx="0" formatCode="General">
                  <c:v>0</c:v>
                </c:pt>
                <c:pt idx="1">
                  <c:v>1.138888888890506</c:v>
                </c:pt>
                <c:pt idx="2">
                  <c:v>2.163194444445252</c:v>
                </c:pt>
                <c:pt idx="3">
                  <c:v>3.03125</c:v>
                </c:pt>
                <c:pt idx="4">
                  <c:v>4.1736111111167702</c:v>
                </c:pt>
                <c:pt idx="5">
                  <c:v>5.8888888888905058</c:v>
                </c:pt>
                <c:pt idx="6">
                  <c:v>7.9895833333357587</c:v>
                </c:pt>
                <c:pt idx="7">
                  <c:v>8.8645833333357604</c:v>
                </c:pt>
                <c:pt idx="8">
                  <c:v>10.78125</c:v>
                </c:pt>
                <c:pt idx="9">
                  <c:v>12.96527777778101</c:v>
                </c:pt>
                <c:pt idx="10">
                  <c:v>14.791666666671521</c:v>
                </c:pt>
                <c:pt idx="11">
                  <c:v>16.78125</c:v>
                </c:pt>
                <c:pt idx="12">
                  <c:v>18.875</c:v>
                </c:pt>
                <c:pt idx="13">
                  <c:v>20.96875</c:v>
                </c:pt>
                <c:pt idx="14">
                  <c:v>22.868055555554751</c:v>
                </c:pt>
                <c:pt idx="15">
                  <c:v>24.78125</c:v>
                </c:pt>
                <c:pt idx="16">
                  <c:v>26.95486111111677</c:v>
                </c:pt>
                <c:pt idx="17">
                  <c:v>28.791666666671521</c:v>
                </c:pt>
                <c:pt idx="18">
                  <c:v>30.791666666671521</c:v>
                </c:pt>
                <c:pt idx="19">
                  <c:v>32.90625</c:v>
                </c:pt>
                <c:pt idx="20">
                  <c:v>34.795138888890499</c:v>
                </c:pt>
                <c:pt idx="21">
                  <c:v>37.020833333335752</c:v>
                </c:pt>
                <c:pt idx="22">
                  <c:v>38.788194444445253</c:v>
                </c:pt>
                <c:pt idx="23">
                  <c:v>40.916666666671503</c:v>
                </c:pt>
                <c:pt idx="24">
                  <c:v>42.78125</c:v>
                </c:pt>
                <c:pt idx="25">
                  <c:v>44.78125</c:v>
                </c:pt>
                <c:pt idx="26">
                  <c:v>46.854166666671503</c:v>
                </c:pt>
                <c:pt idx="27">
                  <c:v>48.80902777778099</c:v>
                </c:pt>
                <c:pt idx="28">
                  <c:v>50.86805555555474</c:v>
                </c:pt>
                <c:pt idx="29">
                  <c:v>54.881944444445232</c:v>
                </c:pt>
                <c:pt idx="30">
                  <c:v>56.961805555554747</c:v>
                </c:pt>
                <c:pt idx="31">
                  <c:v>58.784722222226257</c:v>
                </c:pt>
                <c:pt idx="32">
                  <c:v>60.916666666671503</c:v>
                </c:pt>
                <c:pt idx="33">
                  <c:v>62.78125</c:v>
                </c:pt>
                <c:pt idx="34">
                  <c:v>64.78125</c:v>
                </c:pt>
                <c:pt idx="35">
                  <c:v>68.90625</c:v>
                </c:pt>
                <c:pt idx="36">
                  <c:v>70.78125</c:v>
                </c:pt>
                <c:pt idx="37">
                  <c:v>72.78125</c:v>
                </c:pt>
                <c:pt idx="38">
                  <c:v>76.78472222222625</c:v>
                </c:pt>
                <c:pt idx="39">
                  <c:v>78.777777777780955</c:v>
                </c:pt>
                <c:pt idx="40">
                  <c:v>82.947916666671503</c:v>
                </c:pt>
                <c:pt idx="41">
                  <c:v>85.038194444445267</c:v>
                </c:pt>
                <c:pt idx="42">
                  <c:v>86.78472222222625</c:v>
                </c:pt>
                <c:pt idx="43">
                  <c:v>90.80208333333573</c:v>
                </c:pt>
                <c:pt idx="44">
                  <c:v>92.78472222222625</c:v>
                </c:pt>
                <c:pt idx="45">
                  <c:v>100.79513888889051</c:v>
                </c:pt>
                <c:pt idx="46">
                  <c:v>102.9236111111168</c:v>
                </c:pt>
                <c:pt idx="47">
                  <c:v>105.7881944444453</c:v>
                </c:pt>
                <c:pt idx="48">
                  <c:v>107.7743055555547</c:v>
                </c:pt>
                <c:pt idx="49">
                  <c:v>109.9375</c:v>
                </c:pt>
                <c:pt idx="50">
                  <c:v>119.78125</c:v>
                </c:pt>
                <c:pt idx="51">
                  <c:v>121.777777777781</c:v>
                </c:pt>
                <c:pt idx="52">
                  <c:v>123.902777777781</c:v>
                </c:pt>
                <c:pt idx="53">
                  <c:v>125.777777777781</c:v>
                </c:pt>
                <c:pt idx="54">
                  <c:v>127.8923611111168</c:v>
                </c:pt>
                <c:pt idx="55">
                  <c:v>129.78125</c:v>
                </c:pt>
                <c:pt idx="56">
                  <c:v>131.89583333333579</c:v>
                </c:pt>
                <c:pt idx="57">
                  <c:v>133.48958333333579</c:v>
                </c:pt>
                <c:pt idx="58">
                  <c:v>135.78125</c:v>
                </c:pt>
                <c:pt idx="59">
                  <c:v>137.91666666667149</c:v>
                </c:pt>
                <c:pt idx="60">
                  <c:v>139.77430555555469</c:v>
                </c:pt>
                <c:pt idx="61">
                  <c:v>146.78125</c:v>
                </c:pt>
                <c:pt idx="62">
                  <c:v>148.77430555555469</c:v>
                </c:pt>
                <c:pt idx="63">
                  <c:v>150.7673611111168</c:v>
                </c:pt>
                <c:pt idx="64">
                  <c:v>153.7673611111168</c:v>
                </c:pt>
                <c:pt idx="65">
                  <c:v>155.77430555555469</c:v>
                </c:pt>
                <c:pt idx="66">
                  <c:v>157.77777777778101</c:v>
                </c:pt>
                <c:pt idx="67">
                  <c:v>160.77083333333579</c:v>
                </c:pt>
                <c:pt idx="68">
                  <c:v>162.77777777778101</c:v>
                </c:pt>
                <c:pt idx="69">
                  <c:v>164.77430555555469</c:v>
                </c:pt>
                <c:pt idx="70">
                  <c:v>167.78125</c:v>
                </c:pt>
                <c:pt idx="71">
                  <c:v>171.03125</c:v>
                </c:pt>
                <c:pt idx="72">
                  <c:v>173.92708333333579</c:v>
                </c:pt>
                <c:pt idx="73">
                  <c:v>175.77430555555469</c:v>
                </c:pt>
                <c:pt idx="74">
                  <c:v>177.78125</c:v>
                </c:pt>
                <c:pt idx="75">
                  <c:v>180.125</c:v>
                </c:pt>
                <c:pt idx="76">
                  <c:v>181.78125</c:v>
                </c:pt>
                <c:pt idx="77">
                  <c:v>183.7673611111168</c:v>
                </c:pt>
                <c:pt idx="78">
                  <c:v>185.77430555555469</c:v>
                </c:pt>
                <c:pt idx="79">
                  <c:v>188.77083333333579</c:v>
                </c:pt>
                <c:pt idx="80">
                  <c:v>193.8923611111168</c:v>
                </c:pt>
                <c:pt idx="81">
                  <c:v>195.77083333333579</c:v>
                </c:pt>
                <c:pt idx="82">
                  <c:v>197.77430555555469</c:v>
                </c:pt>
                <c:pt idx="83">
                  <c:v>199.77777777778101</c:v>
                </c:pt>
              </c:numCache>
            </c:numRef>
          </c:xVal>
          <c:yVal>
            <c:numRef>
              <c:f>'acid-water-inoc - test'!$I$25:$I$117</c:f>
              <c:numCache>
                <c:formatCode>General</c:formatCode>
                <c:ptCount val="84"/>
                <c:pt idx="3">
                  <c:v>248</c:v>
                </c:pt>
                <c:pt idx="4">
                  <c:v>242</c:v>
                </c:pt>
                <c:pt idx="5">
                  <c:v>246</c:v>
                </c:pt>
                <c:pt idx="6">
                  <c:v>254</c:v>
                </c:pt>
                <c:pt idx="7">
                  <c:v>214</c:v>
                </c:pt>
                <c:pt idx="8">
                  <c:v>247</c:v>
                </c:pt>
                <c:pt idx="10">
                  <c:v>262</c:v>
                </c:pt>
                <c:pt idx="11">
                  <c:v>235</c:v>
                </c:pt>
                <c:pt idx="12">
                  <c:v>198</c:v>
                </c:pt>
                <c:pt idx="13">
                  <c:v>208</c:v>
                </c:pt>
                <c:pt idx="14">
                  <c:v>234</c:v>
                </c:pt>
                <c:pt idx="15">
                  <c:v>227</c:v>
                </c:pt>
                <c:pt idx="16">
                  <c:v>240</c:v>
                </c:pt>
                <c:pt idx="17">
                  <c:v>280</c:v>
                </c:pt>
                <c:pt idx="18">
                  <c:v>223</c:v>
                </c:pt>
                <c:pt idx="19">
                  <c:v>213</c:v>
                </c:pt>
                <c:pt idx="20">
                  <c:v>288</c:v>
                </c:pt>
                <c:pt idx="21">
                  <c:v>275</c:v>
                </c:pt>
                <c:pt idx="22">
                  <c:v>214</c:v>
                </c:pt>
                <c:pt idx="23">
                  <c:v>248</c:v>
                </c:pt>
                <c:pt idx="24">
                  <c:v>245</c:v>
                </c:pt>
                <c:pt idx="25">
                  <c:v>249</c:v>
                </c:pt>
                <c:pt idx="26">
                  <c:v>214</c:v>
                </c:pt>
                <c:pt idx="27">
                  <c:v>249</c:v>
                </c:pt>
                <c:pt idx="28">
                  <c:v>243</c:v>
                </c:pt>
                <c:pt idx="29">
                  <c:v>217</c:v>
                </c:pt>
                <c:pt idx="30">
                  <c:v>239</c:v>
                </c:pt>
                <c:pt idx="31">
                  <c:v>267</c:v>
                </c:pt>
                <c:pt idx="32">
                  <c:v>231</c:v>
                </c:pt>
                <c:pt idx="33">
                  <c:v>231</c:v>
                </c:pt>
                <c:pt idx="34">
                  <c:v>230</c:v>
                </c:pt>
                <c:pt idx="35">
                  <c:v>228</c:v>
                </c:pt>
                <c:pt idx="36">
                  <c:v>232</c:v>
                </c:pt>
                <c:pt idx="37">
                  <c:v>231</c:v>
                </c:pt>
                <c:pt idx="38">
                  <c:v>223</c:v>
                </c:pt>
                <c:pt idx="39">
                  <c:v>249</c:v>
                </c:pt>
                <c:pt idx="40">
                  <c:v>237</c:v>
                </c:pt>
                <c:pt idx="41">
                  <c:v>242</c:v>
                </c:pt>
                <c:pt idx="42">
                  <c:v>263</c:v>
                </c:pt>
                <c:pt idx="43">
                  <c:v>265</c:v>
                </c:pt>
                <c:pt idx="44">
                  <c:v>251</c:v>
                </c:pt>
              </c:numCache>
            </c:numRef>
          </c:yVal>
          <c:smooth val="0"/>
        </c:ser>
        <c:dLbls>
          <c:showLegendKey val="0"/>
          <c:showVal val="0"/>
          <c:showCatName val="0"/>
          <c:showSerName val="0"/>
          <c:showPercent val="0"/>
          <c:showBubbleSize val="0"/>
        </c:dLbls>
        <c:axId val="289621456"/>
        <c:axId val="289621848"/>
      </c:scatterChart>
      <c:valAx>
        <c:axId val="289621456"/>
        <c:scaling>
          <c:orientation val="minMax"/>
          <c:max val="250"/>
        </c:scaling>
        <c:delete val="0"/>
        <c:axPos val="b"/>
        <c:title>
          <c:tx>
            <c:rich>
              <a:bodyPr/>
              <a:lstStyle/>
              <a:p>
                <a:pPr>
                  <a:defRPr sz="800"/>
                </a:pPr>
                <a:r>
                  <a:rPr lang="en-US" sz="800"/>
                  <a:t>time [days]</a:t>
                </a:r>
              </a:p>
            </c:rich>
          </c:tx>
          <c:layout>
            <c:manualLayout>
              <c:xMode val="edge"/>
              <c:yMode val="edge"/>
              <c:x val="0.441716333051485"/>
              <c:y val="0.91611185086551306"/>
            </c:manualLayout>
          </c:layout>
          <c:overlay val="0"/>
        </c:title>
        <c:numFmt formatCode="General" sourceLinked="1"/>
        <c:majorTickMark val="in"/>
        <c:minorTickMark val="in"/>
        <c:tickLblPos val="nextTo"/>
        <c:txPr>
          <a:bodyPr/>
          <a:lstStyle/>
          <a:p>
            <a:pPr>
              <a:defRPr sz="600"/>
            </a:pPr>
            <a:endParaRPr lang="en-US"/>
          </a:p>
        </c:txPr>
        <c:crossAx val="289621848"/>
        <c:crosses val="autoZero"/>
        <c:crossBetween val="midCat"/>
      </c:valAx>
      <c:valAx>
        <c:axId val="289621848"/>
        <c:scaling>
          <c:orientation val="minMax"/>
          <c:max val="800"/>
        </c:scaling>
        <c:delete val="0"/>
        <c:axPos val="l"/>
        <c:title>
          <c:tx>
            <c:rich>
              <a:bodyPr rot="-5400000" vert="horz"/>
              <a:lstStyle/>
              <a:p>
                <a:pPr>
                  <a:defRPr sz="800"/>
                </a:pPr>
                <a:r>
                  <a:rPr lang="en-US" sz="800"/>
                  <a:t>redox [mV]</a:t>
                </a:r>
              </a:p>
            </c:rich>
          </c:tx>
          <c:layout>
            <c:manualLayout>
              <c:xMode val="edge"/>
              <c:yMode val="edge"/>
              <c:x val="0"/>
              <c:y val="0.32492267527810698"/>
            </c:manualLayout>
          </c:layout>
          <c:overlay val="0"/>
        </c:title>
        <c:numFmt formatCode="General" sourceLinked="1"/>
        <c:majorTickMark val="in"/>
        <c:minorTickMark val="in"/>
        <c:tickLblPos val="nextTo"/>
        <c:txPr>
          <a:bodyPr/>
          <a:lstStyle/>
          <a:p>
            <a:pPr>
              <a:defRPr sz="600"/>
            </a:pPr>
            <a:endParaRPr lang="en-US"/>
          </a:p>
        </c:txPr>
        <c:crossAx val="289621456"/>
        <c:crosses val="autoZero"/>
        <c:crossBetween val="midCat"/>
      </c:valAx>
      <c:spPr>
        <a:ln>
          <a:solidFill>
            <a:sysClr val="windowText" lastClr="000000"/>
          </a:solidFill>
        </a:ln>
      </c:spPr>
    </c:plotArea>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E3D0A9-7C0A-41F7-8D5A-348D16480D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4491</Words>
  <Characters>25600</Characters>
  <Application>Microsoft Office Word</Application>
  <DocSecurity>0</DocSecurity>
  <Lines>213</Lines>
  <Paragraphs>60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Geozentrum Hannover</Company>
  <LinksUpToDate>false</LinksUpToDate>
  <CharactersWithSpaces>30031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gzh</dc:creator>
  <cp:lastModifiedBy>Lesley Mostert</cp:lastModifiedBy>
  <cp:revision>2</cp:revision>
  <cp:lastPrinted>2015-02-23T08:40:00Z</cp:lastPrinted>
  <dcterms:created xsi:type="dcterms:W3CDTF">2016-01-14T12:03:00Z</dcterms:created>
  <dcterms:modified xsi:type="dcterms:W3CDTF">2016-01-14T12:03:00Z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KTSATH001@myuct.ac.za@www.mendeley.com</vt:lpwstr>
  </property>
  <property fmtid="{D5CDD505-2E9C-101B-9397-08002B2CF9AE}" pid="4" name="Mendeley Citation Style_1">
    <vt:lpwstr>http://csl.mendeley.com/styles/22048121/elsevier-without-titles-IBS</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http://csl.mendeley.com/styles/22048121/elsevier-without-titles-IBS</vt:lpwstr>
  </property>
  <property fmtid="{D5CDD505-2E9C-101B-9397-08002B2CF9AE}" pid="14" name="Mendeley Recent Style Name 4_1">
    <vt:lpwstr>Elsevier (numeric, without-titles) - IBS</vt:lpwstr>
  </property>
  <property fmtid="{D5CDD505-2E9C-101B-9397-08002B2CF9AE}" pid="15" name="Mendeley Recent Style Id 5_1">
    <vt:lpwstr>http://www.zotero.org/styles/elsevier-with-titles</vt:lpwstr>
  </property>
  <property fmtid="{D5CDD505-2E9C-101B-9397-08002B2CF9AE}" pid="16" name="Mendeley Recent Style Name 5_1">
    <vt:lpwstr>Elsevier (with titles)</vt:lpwstr>
  </property>
  <property fmtid="{D5CDD505-2E9C-101B-9397-08002B2CF9AE}" pid="17" name="Mendeley Recent Style Id 6_1">
    <vt:lpwstr>http://www.zotero.org/styles/elsevier-harvard2</vt:lpwstr>
  </property>
  <property fmtid="{D5CDD505-2E9C-101B-9397-08002B2CF9AE}" pid="18" name="Mendeley Recent Style Name 6_1">
    <vt:lpwstr>Elsevier Harvard 2</vt:lpwstr>
  </property>
  <property fmtid="{D5CDD505-2E9C-101B-9397-08002B2CF9AE}" pid="19" name="Mendeley Recent Style Id 7_1">
    <vt:lpwstr>http://www.zotero.org/styles/elsevier-harvard-without-titles</vt:lpwstr>
  </property>
  <property fmtid="{D5CDD505-2E9C-101B-9397-08002B2CF9AE}" pid="20" name="Mendeley Recent Style Name 7_1">
    <vt:lpwstr>Elsevier's Harvard Style (without titles)</vt:lpwstr>
  </property>
  <property fmtid="{D5CDD505-2E9C-101B-9397-08002B2CF9AE}" pid="21" name="Mendeley Recent Style Id 8_1">
    <vt:lpwstr>http://www.zotero.org/styles/harvard1</vt:lpwstr>
  </property>
  <property fmtid="{D5CDD505-2E9C-101B-9397-08002B2CF9AE}" pid="22" name="Mendeley Recent Style Name 8_1">
    <vt:lpwstr>Harvard Reference format 1 (author-date)</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