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6DE45" w14:textId="77777777" w:rsidR="00CB0350" w:rsidRDefault="00CB0350" w:rsidP="00CB0350">
      <w:r>
        <w:t>Supplementary material 2: Empirical, values-focused papers</w:t>
      </w:r>
    </w:p>
    <w:tbl>
      <w:tblPr>
        <w:tblStyle w:val="GridTable2"/>
        <w:tblW w:w="16034" w:type="dxa"/>
        <w:jc w:val="center"/>
        <w:tblLook w:val="04A0" w:firstRow="1" w:lastRow="0" w:firstColumn="1" w:lastColumn="0" w:noHBand="0" w:noVBand="1"/>
      </w:tblPr>
      <w:tblGrid>
        <w:gridCol w:w="601"/>
        <w:gridCol w:w="1417"/>
        <w:gridCol w:w="5954"/>
        <w:gridCol w:w="6946"/>
        <w:gridCol w:w="1116"/>
      </w:tblGrid>
      <w:tr w:rsidR="00CB0350" w:rsidRPr="00B13978" w14:paraId="38B3EF35" w14:textId="77777777" w:rsidTr="002F6926">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3CE9B0D8" w14:textId="77777777" w:rsidR="00CB0350" w:rsidRPr="00B13978" w:rsidRDefault="00CB0350" w:rsidP="002F6926">
            <w:pPr>
              <w:jc w:val="center"/>
              <w:rPr>
                <w:rFonts w:ascii="Calibri" w:eastAsia="Times New Roman" w:hAnsi="Calibri" w:cs="Calibri"/>
                <w:sz w:val="16"/>
                <w:szCs w:val="16"/>
                <w:lang w:eastAsia="en-GB"/>
              </w:rPr>
            </w:pPr>
            <w:r w:rsidRPr="00B13978">
              <w:rPr>
                <w:rFonts w:ascii="Calibri" w:eastAsia="Times New Roman" w:hAnsi="Calibri" w:cs="Calibri"/>
                <w:sz w:val="16"/>
                <w:szCs w:val="16"/>
                <w:lang w:eastAsia="en-GB"/>
              </w:rPr>
              <w:t>Author, date</w:t>
            </w:r>
          </w:p>
        </w:tc>
        <w:tc>
          <w:tcPr>
            <w:tcW w:w="1417" w:type="dxa"/>
            <w:noWrap/>
            <w:hideMark/>
          </w:tcPr>
          <w:p w14:paraId="6C3215A6" w14:textId="77777777" w:rsidR="00CB0350" w:rsidRPr="00B13978" w:rsidRDefault="00CB0350" w:rsidP="002F692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6"/>
                <w:lang w:eastAsia="en-GB"/>
              </w:rPr>
            </w:pPr>
            <w:r w:rsidRPr="00B13978">
              <w:rPr>
                <w:rFonts w:ascii="Calibri" w:eastAsia="Times New Roman" w:hAnsi="Calibri" w:cs="Calibri"/>
                <w:sz w:val="16"/>
                <w:szCs w:val="16"/>
                <w:lang w:eastAsia="en-GB"/>
              </w:rPr>
              <w:t>Title</w:t>
            </w:r>
          </w:p>
        </w:tc>
        <w:tc>
          <w:tcPr>
            <w:tcW w:w="5954" w:type="dxa"/>
            <w:noWrap/>
            <w:hideMark/>
          </w:tcPr>
          <w:p w14:paraId="58757092" w14:textId="77777777" w:rsidR="00CB0350" w:rsidRPr="00B13978" w:rsidRDefault="00CB0350" w:rsidP="002F692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6"/>
                <w:lang w:eastAsia="en-GB"/>
              </w:rPr>
            </w:pPr>
            <w:r w:rsidRPr="00B13978">
              <w:rPr>
                <w:rFonts w:ascii="Calibri" w:eastAsia="Times New Roman" w:hAnsi="Calibri" w:cs="Calibri"/>
                <w:sz w:val="16"/>
                <w:szCs w:val="16"/>
                <w:lang w:eastAsia="en-GB"/>
              </w:rPr>
              <w:t>Aim or Research question and methodological approach</w:t>
            </w:r>
          </w:p>
        </w:tc>
        <w:tc>
          <w:tcPr>
            <w:tcW w:w="6946" w:type="dxa"/>
            <w:noWrap/>
            <w:hideMark/>
          </w:tcPr>
          <w:p w14:paraId="2C6C8734" w14:textId="77777777" w:rsidR="00CB0350" w:rsidRPr="00B13978" w:rsidRDefault="00CB0350" w:rsidP="002F692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6"/>
                <w:lang w:eastAsia="en-GB"/>
              </w:rPr>
            </w:pPr>
            <w:r w:rsidRPr="00B13978">
              <w:rPr>
                <w:rFonts w:ascii="Calibri" w:eastAsia="Times New Roman" w:hAnsi="Calibri" w:cs="Calibri"/>
                <w:sz w:val="16"/>
                <w:szCs w:val="16"/>
                <w:lang w:eastAsia="en-GB"/>
              </w:rPr>
              <w:t>Main findings</w:t>
            </w:r>
          </w:p>
        </w:tc>
        <w:tc>
          <w:tcPr>
            <w:tcW w:w="1116" w:type="dxa"/>
            <w:noWrap/>
            <w:hideMark/>
          </w:tcPr>
          <w:p w14:paraId="5A8B9A86" w14:textId="77777777" w:rsidR="00CB0350" w:rsidRPr="00B13978" w:rsidRDefault="00CB0350" w:rsidP="002F692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sz w:val="16"/>
                <w:szCs w:val="16"/>
                <w:lang w:eastAsia="en-GB"/>
              </w:rPr>
            </w:pPr>
            <w:r w:rsidRPr="00B13978">
              <w:rPr>
                <w:rFonts w:ascii="Calibri" w:eastAsia="Times New Roman" w:hAnsi="Calibri" w:cs="Calibri"/>
                <w:sz w:val="16"/>
                <w:szCs w:val="16"/>
                <w:lang w:eastAsia="en-GB"/>
              </w:rPr>
              <w:t>Type</w:t>
            </w:r>
          </w:p>
        </w:tc>
      </w:tr>
      <w:tr w:rsidR="00CB0350" w:rsidRPr="00B13978" w14:paraId="38CC2382" w14:textId="77777777" w:rsidTr="002F6926">
        <w:trPr>
          <w:cnfStyle w:val="000000100000" w:firstRow="0" w:lastRow="0" w:firstColumn="0" w:lastColumn="0" w:oddVBand="0" w:evenVBand="0" w:oddHBand="1" w:evenHBand="0" w:firstRowFirstColumn="0" w:firstRowLastColumn="0" w:lastRowFirstColumn="0" w:lastRowLastColumn="0"/>
          <w:trHeight w:val="160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69EC86A3"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Giacomini, Kenny &amp; DeJean. 2009</w:t>
            </w:r>
          </w:p>
        </w:tc>
        <w:tc>
          <w:tcPr>
            <w:tcW w:w="1417" w:type="dxa"/>
            <w:hideMark/>
          </w:tcPr>
          <w:p w14:paraId="31F618DF"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Ethics frameworks in Canadian health policies: foundation, scaffolding, or window dressing?</w:t>
            </w:r>
          </w:p>
        </w:tc>
        <w:tc>
          <w:tcPr>
            <w:tcW w:w="5954" w:type="dxa"/>
            <w:hideMark/>
          </w:tcPr>
          <w:p w14:paraId="4924EDF1"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describe ethics frameworks and how they are used in Canadian health policy documents and to identify some features of a robust, coherent and meaningful ethics framework.</w:t>
            </w:r>
            <w:r w:rsidRPr="00B13978">
              <w:rPr>
                <w:rFonts w:ascii="Arial Narrow" w:eastAsia="Times New Roman" w:hAnsi="Arial Narrow" w:cs="Calibri"/>
                <w:sz w:val="16"/>
                <w:szCs w:val="16"/>
                <w:lang w:eastAsia="en-GB"/>
              </w:rPr>
              <w:br/>
              <w:t>Qualitative. Policy document review of publicly available, strategic health policy documents concerning the topics of health reform, biotechnology, infectious disease, or health technology assessment.</w:t>
            </w:r>
          </w:p>
        </w:tc>
        <w:tc>
          <w:tcPr>
            <w:tcW w:w="6946" w:type="dxa"/>
            <w:hideMark/>
          </w:tcPr>
          <w:p w14:paraId="28C9029B"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Ethics frameworks typically appear as a list of principles or values. They vary widely, and many are better characterized as goals. No two ethics frameworks matched, despite common topic areas and broadly shared values within the Canadian health system. Few frameworks use the term “ethics”, many more use terms such as “principles” or “values”. Frameworks seldom justify the elements included. Common elements include access, accountability, autonomy, client-centredness, collaboration, efficiency, equity, and (research) evidence.</w:t>
            </w:r>
          </w:p>
        </w:tc>
        <w:tc>
          <w:tcPr>
            <w:tcW w:w="1116" w:type="dxa"/>
            <w:hideMark/>
          </w:tcPr>
          <w:p w14:paraId="4275B5CC"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w:t>
            </w:r>
          </w:p>
        </w:tc>
      </w:tr>
      <w:tr w:rsidR="00CB0350" w:rsidRPr="00B13978" w14:paraId="06514885" w14:textId="77777777" w:rsidTr="002F6926">
        <w:trPr>
          <w:trHeight w:val="151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0A7B083F"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Giacomini, Hurley, Gold, et al. 2004</w:t>
            </w:r>
          </w:p>
        </w:tc>
        <w:tc>
          <w:tcPr>
            <w:tcW w:w="1417" w:type="dxa"/>
            <w:hideMark/>
          </w:tcPr>
          <w:p w14:paraId="2CF82072"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policy analysis of ‘values talk’: lessons from Canadian health reform</w:t>
            </w:r>
          </w:p>
        </w:tc>
        <w:tc>
          <w:tcPr>
            <w:tcW w:w="5954" w:type="dxa"/>
            <w:hideMark/>
          </w:tcPr>
          <w:p w14:paraId="46017ACC"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What sorts of entities do Canadian health reformers typically call ‘values’? How do Canadian health reformers use the idea of values in health reform rhetoric?</w:t>
            </w:r>
            <w:r w:rsidRPr="00B13978">
              <w:rPr>
                <w:rFonts w:ascii="Arial Narrow" w:eastAsia="Times New Roman" w:hAnsi="Arial Narrow" w:cs="Calibri"/>
                <w:sz w:val="16"/>
                <w:szCs w:val="16"/>
                <w:lang w:eastAsia="en-GB"/>
              </w:rPr>
              <w:br/>
              <w:t>Qualitative, interpretive analysis of 36 publicly available Canadian health reform documents published during the period 1990–1999. Included documents were published by Health Canada, provincial ministries of health, or government-mandated commissions and other national-level non-governmental associations</w:t>
            </w:r>
          </w:p>
        </w:tc>
        <w:tc>
          <w:tcPr>
            <w:tcW w:w="6946" w:type="dxa"/>
            <w:hideMark/>
          </w:tcPr>
          <w:p w14:paraId="41D0C597"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some documents refer to the Canadian health system itself as a ‘value’. Common values included universality, accessibility, portability, comprehensiveness, public administration, and equity. Health states are also sometimes invoked as values. Many values touch on relationships either among citizens, or between citizens and the health system’s governance or providers</w:t>
            </w:r>
            <w:r>
              <w:rPr>
                <w:rFonts w:ascii="Arial Narrow" w:eastAsia="Times New Roman" w:hAnsi="Arial Narrow" w:cs="Calibri"/>
                <w:sz w:val="16"/>
                <w:szCs w:val="16"/>
                <w:lang w:eastAsia="en-GB"/>
              </w:rPr>
              <w:t xml:space="preserve">. </w:t>
            </w:r>
            <w:r w:rsidRPr="00B13978">
              <w:rPr>
                <w:rFonts w:ascii="Arial Narrow" w:eastAsia="Times New Roman" w:hAnsi="Arial Narrow" w:cs="Calibri"/>
                <w:sz w:val="16"/>
                <w:szCs w:val="16"/>
                <w:lang w:eastAsia="en-GB"/>
              </w:rPr>
              <w:t xml:space="preserve">Many values touch on relationships either among citizens, or between citizens and the health system’s governance or providers. Tied goods and balancing one value against another (e.g. equity vs efficiency) emerging as value systems or rankings. </w:t>
            </w:r>
          </w:p>
        </w:tc>
        <w:tc>
          <w:tcPr>
            <w:tcW w:w="1116" w:type="dxa"/>
            <w:hideMark/>
          </w:tcPr>
          <w:p w14:paraId="013917C3"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w:t>
            </w:r>
          </w:p>
        </w:tc>
      </w:tr>
      <w:tr w:rsidR="00CB0350" w:rsidRPr="00B13978" w14:paraId="61B77A76" w14:textId="77777777" w:rsidTr="002F6926">
        <w:trPr>
          <w:cnfStyle w:val="000000100000" w:firstRow="0" w:lastRow="0" w:firstColumn="0" w:lastColumn="0" w:oddVBand="0" w:evenVBand="0" w:oddHBand="1" w:evenHBand="0" w:firstRowFirstColumn="0" w:firstRowLastColumn="0" w:lastRowFirstColumn="0" w:lastRowLastColumn="0"/>
          <w:trHeight w:val="169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7757BE07"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Hyder, Merritt, Ali, et al. 2008</w:t>
            </w:r>
          </w:p>
        </w:tc>
        <w:tc>
          <w:tcPr>
            <w:tcW w:w="1417" w:type="dxa"/>
            <w:hideMark/>
          </w:tcPr>
          <w:p w14:paraId="7C220237"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Integrating ethics, health policy and health systems in low-and middle-income countries: Case studies from Malaysia and Pakistan</w:t>
            </w:r>
          </w:p>
        </w:tc>
        <w:tc>
          <w:tcPr>
            <w:tcW w:w="5954" w:type="dxa"/>
            <w:hideMark/>
          </w:tcPr>
          <w:p w14:paraId="3FBBF9AF"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describe the ethics processes in play when public-health mechanisms are established in low- and middle-income countries</w:t>
            </w:r>
            <w:r w:rsidRPr="00B13978">
              <w:rPr>
                <w:rFonts w:ascii="Arial Narrow" w:eastAsia="Times New Roman" w:hAnsi="Arial Narrow" w:cs="Calibri"/>
                <w:sz w:val="16"/>
                <w:szCs w:val="16"/>
                <w:lang w:eastAsia="en-GB"/>
              </w:rPr>
              <w:br/>
              <w:t>Case study.  Developed a framework for ethical analysis of health system events, and tested the framework against two cases (one in Malaysia, and one in Pakistan) where ethics played a crucial role in producing positive institutional change in public-health policy.</w:t>
            </w:r>
          </w:p>
        </w:tc>
        <w:tc>
          <w:tcPr>
            <w:tcW w:w="6946" w:type="dxa"/>
            <w:hideMark/>
          </w:tcPr>
          <w:p w14:paraId="2966723C"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While ethics is gradually being integrated into public-health policy decisions in many developing health systems, it is often implicit and undervalued. Three core public-health values – prevention, accountability, and social justice – were found to frequently arise at the ethics/public-health policy interface.</w:t>
            </w:r>
          </w:p>
        </w:tc>
        <w:tc>
          <w:tcPr>
            <w:tcW w:w="1116" w:type="dxa"/>
            <w:hideMark/>
          </w:tcPr>
          <w:p w14:paraId="5A39427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w:t>
            </w:r>
          </w:p>
        </w:tc>
      </w:tr>
      <w:tr w:rsidR="00CB0350" w:rsidRPr="00B13978" w14:paraId="12104AEF" w14:textId="77777777" w:rsidTr="002F6926">
        <w:trPr>
          <w:trHeight w:val="126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56E1F9A7"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Ahn, Kim, Suh, et al. 2012</w:t>
            </w:r>
          </w:p>
        </w:tc>
        <w:tc>
          <w:tcPr>
            <w:tcW w:w="1417" w:type="dxa"/>
            <w:hideMark/>
          </w:tcPr>
          <w:p w14:paraId="36334E04"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values and healthcare priority setting in Korea</w:t>
            </w:r>
          </w:p>
        </w:tc>
        <w:tc>
          <w:tcPr>
            <w:tcW w:w="5954" w:type="dxa"/>
            <w:hideMark/>
          </w:tcPr>
          <w:p w14:paraId="6944BAD4"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understand the role of social values in setting healthcare priorities in Republic of Korea.</w:t>
            </w:r>
            <w:r w:rsidRPr="00B13978">
              <w:rPr>
                <w:rFonts w:ascii="Arial Narrow" w:eastAsia="Times New Roman" w:hAnsi="Arial Narrow" w:cs="Calibri"/>
                <w:sz w:val="16"/>
                <w:szCs w:val="16"/>
                <w:lang w:eastAsia="en-GB"/>
              </w:rPr>
              <w:br/>
              <w:t>Qualitative. Using the Clark and Weale framework, each value is tested against Korean healthcare decision-making processes on drugs, medical devices, and diagnostic methods/procedures, through interviews with decision makers and analysis of drug and health technology review decision-making documents.</w:t>
            </w:r>
          </w:p>
        </w:tc>
        <w:tc>
          <w:tcPr>
            <w:tcW w:w="6946" w:type="dxa"/>
            <w:hideMark/>
          </w:tcPr>
          <w:p w14:paraId="0CC04CE2"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Clinical considerations given highest weighting in decision making processes. Occasional consideration of economic values</w:t>
            </w:r>
            <w:r w:rsidRPr="00B13978">
              <w:rPr>
                <w:rFonts w:ascii="Arial Narrow" w:eastAsia="Times New Roman" w:hAnsi="Arial Narrow" w:cs="Calibri"/>
                <w:sz w:val="16"/>
                <w:szCs w:val="16"/>
                <w:lang w:eastAsia="en-GB"/>
              </w:rPr>
              <w:br/>
              <w:t xml:space="preserve">such as cost effectiveness and budget impacts. Process values such as transparency and accountability influence decision making more than content values such as Justice/equity, solidarity, and autonomy which are rarely evident. Public participation is limited. </w:t>
            </w:r>
          </w:p>
        </w:tc>
        <w:tc>
          <w:tcPr>
            <w:tcW w:w="1116" w:type="dxa"/>
            <w:hideMark/>
          </w:tcPr>
          <w:p w14:paraId="485222DD"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34FCFE8B" w14:textId="77777777" w:rsidTr="002F6926">
        <w:trPr>
          <w:cnfStyle w:val="000000100000" w:firstRow="0" w:lastRow="0" w:firstColumn="0" w:lastColumn="0" w:oddVBand="0" w:evenVBand="0" w:oddHBand="1" w:evenHBand="0" w:firstRowFirstColumn="0" w:firstRowLastColumn="0" w:lastRowFirstColumn="0" w:lastRowLastColumn="0"/>
          <w:trHeight w:val="1506"/>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161773B7"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Kieslich, 2012</w:t>
            </w:r>
          </w:p>
        </w:tc>
        <w:tc>
          <w:tcPr>
            <w:tcW w:w="1417" w:type="dxa"/>
            <w:hideMark/>
          </w:tcPr>
          <w:p w14:paraId="1CBEF27F"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values and health priority setting in Germany</w:t>
            </w:r>
          </w:p>
        </w:tc>
        <w:tc>
          <w:tcPr>
            <w:tcW w:w="5954" w:type="dxa"/>
            <w:hideMark/>
          </w:tcPr>
          <w:p w14:paraId="6469C2C2"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provide an overview of health priority-setting structures in Germany. It reflects on how and which social values may influence decision making,</w:t>
            </w:r>
            <w:r w:rsidRPr="00B13978">
              <w:rPr>
                <w:rFonts w:ascii="Arial Narrow" w:eastAsia="Times New Roman" w:hAnsi="Arial Narrow" w:cs="Calibri"/>
                <w:sz w:val="16"/>
                <w:szCs w:val="16"/>
                <w:lang w:eastAsia="en-GB"/>
              </w:rPr>
              <w:br/>
              <w:t>Qualitative. Application of Clark and Weale’s framework of analysis for Social Values and Health Priority-setting to the German context through exploration of health priority-setting structures in Germany (Institute for Quality and Efficiency in Health Care) and how they operate within the German Statutory Health Insurance (SHI) system.</w:t>
            </w:r>
          </w:p>
        </w:tc>
        <w:tc>
          <w:tcPr>
            <w:tcW w:w="6946" w:type="dxa"/>
            <w:hideMark/>
          </w:tcPr>
          <w:p w14:paraId="48617766"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Germany has made unique methodological and structural choices that reflect the social values and institutional traditions that underpin its self-governing statutory health insurance (SHI) system. The principle of solidarity is upheld as a core value in health priority-setting. No structural element exists in the decision-making bodies analysed that enables deliberative-democratic consultation of members of the public about difficult decisions. The emphasis on the principle of solidarity and its interpretation as an individualistic rather than a utilitarian value decreases the chances that medical interventions will be weighed against each other. Social values form the guiding principles of the health care system and present a barrier to health priority-setting as it is understood in other national settings.</w:t>
            </w:r>
          </w:p>
        </w:tc>
        <w:tc>
          <w:tcPr>
            <w:tcW w:w="1116" w:type="dxa"/>
            <w:hideMark/>
          </w:tcPr>
          <w:p w14:paraId="5E2E659C"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3588FF24" w14:textId="77777777" w:rsidTr="002F6926">
        <w:trPr>
          <w:trHeight w:val="165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68BDF169"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Littlejohns, Yeung, Clark, et al. 2012</w:t>
            </w:r>
          </w:p>
        </w:tc>
        <w:tc>
          <w:tcPr>
            <w:tcW w:w="1417" w:type="dxa"/>
            <w:hideMark/>
          </w:tcPr>
          <w:p w14:paraId="59E33DF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 proposal for a new social values research program and policy network</w:t>
            </w:r>
          </w:p>
        </w:tc>
        <w:tc>
          <w:tcPr>
            <w:tcW w:w="5954" w:type="dxa"/>
            <w:hideMark/>
          </w:tcPr>
          <w:p w14:paraId="7DCCC0A8"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demonstrate that the Clark and Weale framework could be applied to publicly available data, and to explore the concordance between the framework values and those present in the statements of decision-making protocols of Health Technology Assessment Agencies.</w:t>
            </w:r>
            <w:r w:rsidRPr="00B13978">
              <w:rPr>
                <w:rFonts w:ascii="Arial Narrow" w:eastAsia="Times New Roman" w:hAnsi="Arial Narrow" w:cs="Calibri"/>
                <w:sz w:val="16"/>
                <w:szCs w:val="16"/>
                <w:lang w:eastAsia="en-GB"/>
              </w:rPr>
              <w:br/>
              <w:t>Qualitative. The web sites and documentation of three public bodies involved in HTA in the UK were searched for references to social value statements and assessed according to the social values framework in order to identify references to and descriptions of social values by those organizations.</w:t>
            </w:r>
          </w:p>
        </w:tc>
        <w:tc>
          <w:tcPr>
            <w:tcW w:w="6946" w:type="dxa"/>
            <w:hideMark/>
          </w:tcPr>
          <w:p w14:paraId="3307F960"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There was a close match between the values in the draft framework and those contained in documents published by the HTA bodies. The HTA bodies mentioned three values that were not included in the draft framework: independence, timeliness, and innovation. The values of accountability and transparency were used interchangeably. The value of solidarity (a value most typically associated with European social insurance systems) finds only indirect expression in the guidance notes of all. </w:t>
            </w:r>
          </w:p>
        </w:tc>
        <w:tc>
          <w:tcPr>
            <w:tcW w:w="1116" w:type="dxa"/>
            <w:hideMark/>
          </w:tcPr>
          <w:p w14:paraId="53F69398"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29E6AF55" w14:textId="77777777" w:rsidTr="002F6926">
        <w:trPr>
          <w:cnfStyle w:val="000000100000" w:firstRow="0" w:lastRow="0" w:firstColumn="0" w:lastColumn="0" w:oddVBand="0" w:evenVBand="0" w:oddHBand="1" w:evenHBand="0" w:firstRowFirstColumn="0" w:firstRowLastColumn="0" w:lastRowFirstColumn="0" w:lastRowLastColumn="0"/>
          <w:trHeight w:val="153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63B0E882"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lastRenderedPageBreak/>
              <w:t>Mostafavi, Rashidian, Arab, et al. 2016</w:t>
            </w:r>
          </w:p>
        </w:tc>
        <w:tc>
          <w:tcPr>
            <w:tcW w:w="1417" w:type="dxa"/>
            <w:hideMark/>
          </w:tcPr>
          <w:p w14:paraId="14D4BAAA"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Health Priority Setting in Iran: Evaluating Against the Social Values Framework</w:t>
            </w:r>
          </w:p>
        </w:tc>
        <w:tc>
          <w:tcPr>
            <w:tcW w:w="5954" w:type="dxa"/>
            <w:hideMark/>
          </w:tcPr>
          <w:p w14:paraId="4009D3C4"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examine the role of social values in the health priority-setting in the Iranian health system.</w:t>
            </w:r>
            <w:r w:rsidRPr="00B13978">
              <w:rPr>
                <w:rFonts w:ascii="Arial Narrow" w:eastAsia="Times New Roman" w:hAnsi="Arial Narrow" w:cs="Calibri"/>
                <w:sz w:val="16"/>
                <w:szCs w:val="16"/>
                <w:lang w:eastAsia="en-GB"/>
              </w:rPr>
              <w:br/>
              <w:t xml:space="preserve">Qualitative. Case study using three data sources were used: literature, national documents, and interviews with purposefully selected key informants. National documents were selected based on a review of the literature and consulting senior policymakers. Interviews and documents were analysed through thematic framework analysis, and interpreted based on the Clark-Weale Framework. </w:t>
            </w:r>
          </w:p>
        </w:tc>
        <w:tc>
          <w:tcPr>
            <w:tcW w:w="6946" w:type="dxa"/>
            <w:hideMark/>
          </w:tcPr>
          <w:p w14:paraId="540DCF0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Social values are considered in the health priority decisions in limited ways. An appropriate value-based framework for priority-setting and public participation are lacking. Values such as equity, public participation, transparency, freedom, solidarity, and accountability are commonly emphasized. The transparency of the decisions and the accountability of the decision makers are low. Equity and solidarity are considered in different levels of the health system. Process values were described less than content values in the documents. The importance of social values has recently increased in the national documents, but to what extent these values are considered in practice remains uncertain. Most of participants stated that they had never precisely thought about social values in the health sector. </w:t>
            </w:r>
          </w:p>
        </w:tc>
        <w:tc>
          <w:tcPr>
            <w:tcW w:w="1116" w:type="dxa"/>
            <w:hideMark/>
          </w:tcPr>
          <w:p w14:paraId="30CC5507"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21B3A789" w14:textId="77777777" w:rsidTr="002F6926">
        <w:trPr>
          <w:trHeight w:val="1588"/>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11E115CA"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Tantivess, Velasco, Yothasamut, et al. 2012</w:t>
            </w:r>
          </w:p>
        </w:tc>
        <w:tc>
          <w:tcPr>
            <w:tcW w:w="1417" w:type="dxa"/>
            <w:hideMark/>
          </w:tcPr>
          <w:p w14:paraId="030DABEC"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Efficiency or equity: value judgments in coverage decisions in Thailand</w:t>
            </w:r>
          </w:p>
        </w:tc>
        <w:tc>
          <w:tcPr>
            <w:tcW w:w="5954" w:type="dxa"/>
            <w:hideMark/>
          </w:tcPr>
          <w:p w14:paraId="3E891F6D"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analyse the roles of social values in the reform of coverage decisions for Thailand’s Universal Health Coverage (UC) plan in 2009 and 2010.</w:t>
            </w:r>
            <w:r w:rsidRPr="00B13978">
              <w:rPr>
                <w:rFonts w:ascii="Arial Narrow" w:eastAsia="Times New Roman" w:hAnsi="Arial Narrow" w:cs="Calibri"/>
                <w:sz w:val="16"/>
                <w:szCs w:val="16"/>
                <w:lang w:eastAsia="en-GB"/>
              </w:rPr>
              <w:br/>
              <w:t xml:space="preserve">Qualitative. Qualitative techniques, including document review and personal communication, were employed for data collection and triangulation. All relevant data and information regarding the reform and three case study interventions were interpreted and analysed according to the thematic elements in the Clarke and Weale framework. </w:t>
            </w:r>
          </w:p>
        </w:tc>
        <w:tc>
          <w:tcPr>
            <w:tcW w:w="6946" w:type="dxa"/>
            <w:hideMark/>
          </w:tcPr>
          <w:p w14:paraId="2D877643"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values determined changes in the UC plan in two steps: the development of coverage decision guidelines and the introduction of such guidelines in benefit package formulation. The former was guided by process values, while the latter was shaped by different content ideals of stakeholders and policymakers. Analysis of the three interventions suggests that in allocating its resources, the UC authority took into account not only cost-effectiveness, but also budget impacts, equity and solidarity. These social values competed with each other and, in many instances, the prioritisation of benefit candidates was not led solely by evidence, but also by value judgments.</w:t>
            </w:r>
          </w:p>
        </w:tc>
        <w:tc>
          <w:tcPr>
            <w:tcW w:w="1116" w:type="dxa"/>
            <w:hideMark/>
          </w:tcPr>
          <w:p w14:paraId="40D0B4C4"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100663F2" w14:textId="77777777" w:rsidTr="002F6926">
        <w:trPr>
          <w:cnfStyle w:val="000000100000" w:firstRow="0" w:lastRow="0" w:firstColumn="0" w:lastColumn="0" w:oddVBand="0" w:evenVBand="0" w:oddHBand="1" w:evenHBand="0" w:firstRowFirstColumn="0" w:firstRowLastColumn="0" w:lastRowFirstColumn="0" w:lastRowLastColumn="0"/>
          <w:trHeight w:val="198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042EEE91"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Whitty, Littlejohns. 2015</w:t>
            </w:r>
          </w:p>
        </w:tc>
        <w:tc>
          <w:tcPr>
            <w:tcW w:w="1417" w:type="dxa"/>
            <w:hideMark/>
          </w:tcPr>
          <w:p w14:paraId="1782E23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values and health priority setting in Australia: an analysis applied to the context of HTA</w:t>
            </w:r>
          </w:p>
        </w:tc>
        <w:tc>
          <w:tcPr>
            <w:tcW w:w="5954" w:type="dxa"/>
            <w:hideMark/>
          </w:tcPr>
          <w:p w14:paraId="132CC13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describe the role of social values in priority-setting related to health technology assessment processes and decision-making in Australia.</w:t>
            </w:r>
            <w:r w:rsidRPr="00B13978">
              <w:rPr>
                <w:rFonts w:ascii="Arial Narrow" w:eastAsia="Times New Roman" w:hAnsi="Arial Narrow" w:cs="Calibri"/>
                <w:sz w:val="16"/>
                <w:szCs w:val="16"/>
                <w:lang w:eastAsia="en-GB"/>
              </w:rPr>
              <w:br/>
              <w:t xml:space="preserve">Qualitative. The processes and decision criteria of the Pharmaceutical and Medical Benefits Advisory Committees are described based on literature and policy sources, and analysed using the Clark and Weale framework for identifying social values in priority-setting. The descriptive analysis was informed by a search of the published literature to identify key sources on the PBAC and MSAC processes, and the potential role of social values in these; and a search of the PBAC, MSAC and DoH websites to identify key policy documents providing insights into the application of social values in decision-making. </w:t>
            </w:r>
          </w:p>
        </w:tc>
        <w:tc>
          <w:tcPr>
            <w:tcW w:w="6946" w:type="dxa"/>
            <w:hideMark/>
          </w:tcPr>
          <w:p w14:paraId="36FCB957"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Transparency and accountability of processes are apparent. Participation balances inclusiveness and effectiveness of decision-making, but presents an opportunity to enhance priority-setting processes. Clinical and cost-effectiveness are important content considerations. Social values related to justice/equity are considered, without quantification of criteria weights for equity relative to other factors. HTA processes support solidarity through subsidising approved technologies for all Australians, whilst retaining autonomy by permitting non-subsidised technologies to be accessed privately, leading to possible tension between the values of solidarity, autonomy and equity. PBAC and MSAC recognise the importance of social values in their decision-making. There is generally little explicit information available on how these social values are derived, how they are considered in decision-making relative to clinical and cost-effectiveness, or what contexts might engender particular values such as equity to be considered.</w:t>
            </w:r>
          </w:p>
        </w:tc>
        <w:tc>
          <w:tcPr>
            <w:tcW w:w="1116" w:type="dxa"/>
            <w:hideMark/>
          </w:tcPr>
          <w:p w14:paraId="185F031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7961AD73" w14:textId="77777777" w:rsidTr="002F6926">
        <w:trPr>
          <w:trHeight w:val="1412"/>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6035058A"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Littlejohns, Sharma, Jeong, 2012</w:t>
            </w:r>
          </w:p>
        </w:tc>
        <w:tc>
          <w:tcPr>
            <w:tcW w:w="1417" w:type="dxa"/>
            <w:hideMark/>
          </w:tcPr>
          <w:p w14:paraId="6D227C09"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values and health priority setting in England</w:t>
            </w:r>
          </w:p>
        </w:tc>
        <w:tc>
          <w:tcPr>
            <w:tcW w:w="5954" w:type="dxa"/>
            <w:hideMark/>
          </w:tcPr>
          <w:p w14:paraId="5EFD5D9A"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provide an overview of the organisational and procedural arrangements for priority-setting in England and Wales, including the role of social values in the decision-making process.</w:t>
            </w:r>
            <w:r w:rsidRPr="00B13978">
              <w:rPr>
                <w:rFonts w:ascii="Arial Narrow" w:eastAsia="Times New Roman" w:hAnsi="Arial Narrow" w:cs="Calibri"/>
                <w:sz w:val="16"/>
                <w:szCs w:val="16"/>
                <w:lang w:eastAsia="en-GB"/>
              </w:rPr>
              <w:br/>
              <w:t xml:space="preserve">Qualitative. Decisions made by the UK's National Institute for Health and Clinical Excellence analysed using the Clarke &amp; Weale framework. </w:t>
            </w:r>
          </w:p>
        </w:tc>
        <w:tc>
          <w:tcPr>
            <w:tcW w:w="6946" w:type="dxa"/>
            <w:hideMark/>
          </w:tcPr>
          <w:p w14:paraId="38FCD25C"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Each country has established different systems that reflect the social and legal framework underpinning their health systems. Both the process and outcomes of appraisals are reflective of and receptive to contemporary values and ethical principles held by society. These include an obligation actively to consider health inequalities. Since its inception the NHS in England has provided universal care free to all at point of entry, based on the patient’s need for treatment. This value of solidarity remains as strong as ever. Social values are often discussed in the guise of judgements on effectiveness. Comparisons between countries shows the differences in the way that social values are institutionalised.  </w:t>
            </w:r>
          </w:p>
        </w:tc>
        <w:tc>
          <w:tcPr>
            <w:tcW w:w="1116" w:type="dxa"/>
            <w:hideMark/>
          </w:tcPr>
          <w:p w14:paraId="561EDF19"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Analysis of values in policy documents or decision-making (using C&amp;W FW)</w:t>
            </w:r>
          </w:p>
        </w:tc>
      </w:tr>
      <w:tr w:rsidR="00CB0350" w:rsidRPr="00B13978" w14:paraId="442B7A38" w14:textId="77777777" w:rsidTr="002F6926">
        <w:trPr>
          <w:cnfStyle w:val="000000100000" w:firstRow="0" w:lastRow="0" w:firstColumn="0" w:lastColumn="0" w:oddVBand="0" w:evenVBand="0" w:oddHBand="1" w:evenHBand="0" w:firstRowFirstColumn="0" w:firstRowLastColumn="0" w:lastRowFirstColumn="0" w:lastRowLastColumn="0"/>
          <w:trHeight w:val="211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33482025"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Mou,2013</w:t>
            </w:r>
          </w:p>
        </w:tc>
        <w:tc>
          <w:tcPr>
            <w:tcW w:w="1417" w:type="dxa"/>
            <w:hideMark/>
          </w:tcPr>
          <w:p w14:paraId="7105FF9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political economy of the public–private mix in heath expenditure: An empirical review of thirteen OECD countries</w:t>
            </w:r>
          </w:p>
        </w:tc>
        <w:tc>
          <w:tcPr>
            <w:tcW w:w="5954" w:type="dxa"/>
            <w:hideMark/>
          </w:tcPr>
          <w:p w14:paraId="0E2AF6A9"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investigate the factors (including development of private health insurance, income inequality among voters, and political ideology of the electorate) that may have influenced the public–private mix of health expenditure in 13 OECD countries from 1981 to 2007.</w:t>
            </w:r>
            <w:r w:rsidRPr="00B13978">
              <w:rPr>
                <w:rFonts w:ascii="Arial Narrow" w:eastAsia="Times New Roman" w:hAnsi="Arial Narrow" w:cs="Calibri"/>
                <w:sz w:val="16"/>
                <w:szCs w:val="16"/>
                <w:lang w:eastAsia="en-GB"/>
              </w:rPr>
              <w:br/>
              <w:t>Quantitative. Using a sample of 13 OECD countries, the authors conduct a statistical analysis of correlation among key variables including population characteristics, health system financing, political ideology, and voting patterns.</w:t>
            </w:r>
          </w:p>
        </w:tc>
        <w:tc>
          <w:tcPr>
            <w:tcW w:w="6946" w:type="dxa"/>
            <w:hideMark/>
          </w:tcPr>
          <w:p w14:paraId="21456ADE"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Greater income inequality and population aging are associated with a smaller share of public health expenditure in total health expenditure. The more ideologically left-leaning the electorate is, the larger the share of public health expenditure. Private health insurance tends to erode the political support for the public health care systems in countries with private duplicate health insurance, but not in countries with private primary health insurance. Collective values and social beliefs are important in the politics around the public–private mix of health expenditure.</w:t>
            </w:r>
          </w:p>
        </w:tc>
        <w:tc>
          <w:tcPr>
            <w:tcW w:w="1116" w:type="dxa"/>
            <w:hideMark/>
          </w:tcPr>
          <w:p w14:paraId="7F21865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 social values of public relative to/congruence with HS outcomes/ characteristics</w:t>
            </w:r>
          </w:p>
        </w:tc>
      </w:tr>
      <w:tr w:rsidR="00CB0350" w:rsidRPr="00B13978" w14:paraId="5FC06F67" w14:textId="77777777" w:rsidTr="002F6926">
        <w:trPr>
          <w:trHeight w:val="1694"/>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52FC7C40"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Kringos, Boerma, van der Zee, et al. 2013</w:t>
            </w:r>
          </w:p>
        </w:tc>
        <w:tc>
          <w:tcPr>
            <w:tcW w:w="1417" w:type="dxa"/>
            <w:hideMark/>
          </w:tcPr>
          <w:p w14:paraId="3B378F26"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Political, cultural and economic foundations of primary care in Europe</w:t>
            </w:r>
          </w:p>
        </w:tc>
        <w:tc>
          <w:tcPr>
            <w:tcW w:w="5954" w:type="dxa"/>
            <w:hideMark/>
          </w:tcPr>
          <w:p w14:paraId="5D7B6DDC"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explore the relationship between the strength of primary care and a country’s economic development, political orientation, type of healthcare system, and prevailing values, and to identify the conditions favouring the development of strong PC.</w:t>
            </w:r>
            <w:r w:rsidRPr="00B13978">
              <w:rPr>
                <w:rFonts w:ascii="Arial Narrow" w:eastAsia="Times New Roman" w:hAnsi="Arial Narrow" w:cs="Calibri"/>
                <w:sz w:val="16"/>
                <w:szCs w:val="16"/>
                <w:lang w:eastAsia="en-GB"/>
              </w:rPr>
              <w:br/>
              <w:t xml:space="preserve">Quantitative. Multivariable regression analyses were performed using data from European states. Independent variables included: wealth, political composition, structure of a healthcare system, prevailing values, and strength of primary care. </w:t>
            </w:r>
          </w:p>
        </w:tc>
        <w:tc>
          <w:tcPr>
            <w:tcW w:w="6946" w:type="dxa"/>
            <w:hideMark/>
          </w:tcPr>
          <w:p w14:paraId="63326E9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Having a left-wing government has a significantly positive association with strength of PC. Strengthening PC means mobilising multiple leverage points, policy options, and political will in line with prevailing values in a country. Countries where people value a stronger involvement of the government to ensure that everyone is provided for, were associated with a higher accessibility of PC.</w:t>
            </w:r>
          </w:p>
        </w:tc>
        <w:tc>
          <w:tcPr>
            <w:tcW w:w="1116" w:type="dxa"/>
            <w:hideMark/>
          </w:tcPr>
          <w:p w14:paraId="20C925EB"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 social values of public relative to/congruence with HS outcomes/ characteristics</w:t>
            </w:r>
          </w:p>
        </w:tc>
      </w:tr>
      <w:tr w:rsidR="00CB0350" w:rsidRPr="00B13978" w14:paraId="76B9D927" w14:textId="77777777" w:rsidTr="002F6926">
        <w:trPr>
          <w:cnfStyle w:val="000000100000" w:firstRow="0" w:lastRow="0" w:firstColumn="0" w:lastColumn="0" w:oddVBand="0" w:evenVBand="0" w:oddHBand="1" w:evenHBand="0" w:firstRowFirstColumn="0" w:firstRowLastColumn="0" w:lastRowFirstColumn="0" w:lastRowLastColumn="0"/>
          <w:trHeight w:val="184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747EA3BF"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lastRenderedPageBreak/>
              <w:t>Landwehr, Klinnert. 2015</w:t>
            </w:r>
          </w:p>
        </w:tc>
        <w:tc>
          <w:tcPr>
            <w:tcW w:w="1417" w:type="dxa"/>
            <w:hideMark/>
          </w:tcPr>
          <w:p w14:paraId="395CD4B7"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Value congruence in health care priority setting: social values, institutions and decisions</w:t>
            </w:r>
          </w:p>
        </w:tc>
        <w:tc>
          <w:tcPr>
            <w:tcW w:w="5954" w:type="dxa"/>
            <w:hideMark/>
          </w:tcPr>
          <w:p w14:paraId="395953E9"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To assess congruence between a society’s values and its institutions and formulate expectations on its effects on the public acceptance of prioritization decisions, and of the health care system at large.  </w:t>
            </w:r>
            <w:r w:rsidRPr="00B13978">
              <w:rPr>
                <w:rFonts w:ascii="Arial Narrow" w:eastAsia="Times New Roman" w:hAnsi="Arial Narrow" w:cs="Calibri"/>
                <w:sz w:val="16"/>
                <w:szCs w:val="16"/>
                <w:lang w:eastAsia="en-GB"/>
              </w:rPr>
              <w:br/>
              <w:t>Qualitative. Compare across three countries (Germany, UK and France) using existing survey data and document review to assess whether social values regarding priorities in health care are coherent or incoherent with the values institutionalized in the health care system in general and in priority-setting agencies in particular  and whether social values are reflected in the decisions of these agencies and the justification of their decisions.</w:t>
            </w:r>
          </w:p>
        </w:tc>
        <w:tc>
          <w:tcPr>
            <w:tcW w:w="6946" w:type="dxa"/>
            <w:hideMark/>
          </w:tcPr>
          <w:p w14:paraId="32F4ECE9"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Social values in the population are congruent with institutionalized values and decisions in the UK, less congruent in France and incongruent in Germany. In the UK, support for efficiency and equality criteria is reflected in the institutional design of the health care system at large and in the design of institutions. Criteria of personal responsibility for health enjoy some support in the British population, which is not reflected in institutional design or decisions. In Germany, the strong concern with equality is not at all reflected in institutions and decisions, while the rejection of personal responsibility for health as a criterion in allocation decisions is discrepant with institutionalized norms and justifications for decisions. The public acceptance of prioritization decisions, and eventually of the health care system at large, will ultimately depend not only on considerations of procedural fairness, but also on the congruence between a society’s values and its institutions. </w:t>
            </w:r>
          </w:p>
        </w:tc>
        <w:tc>
          <w:tcPr>
            <w:tcW w:w="1116" w:type="dxa"/>
            <w:hideMark/>
          </w:tcPr>
          <w:p w14:paraId="79316342"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 social values of public relative to/congruence with HS outcomes/ characteristics</w:t>
            </w:r>
          </w:p>
        </w:tc>
      </w:tr>
      <w:tr w:rsidR="00CB0350" w:rsidRPr="00B13978" w14:paraId="586562EF" w14:textId="77777777" w:rsidTr="002F6926">
        <w:trPr>
          <w:trHeight w:val="1537"/>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52CCA8E0"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Mladovsky, Ndiaye, Ndiaye, et al. 2015</w:t>
            </w:r>
          </w:p>
        </w:tc>
        <w:tc>
          <w:tcPr>
            <w:tcW w:w="1417" w:type="dxa"/>
            <w:hideMark/>
          </w:tcPr>
          <w:p w14:paraId="10776F0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impact of stakeholder values and power relations on community-based health insurance coverage</w:t>
            </w:r>
          </w:p>
        </w:tc>
        <w:tc>
          <w:tcPr>
            <w:tcW w:w="5954" w:type="dxa"/>
            <w:hideMark/>
          </w:tcPr>
          <w:p w14:paraId="50EADDE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To test the hypothesis that values and power relations inherent in social networks of CBHI stakeholders can explain levels of CBHI coverage. </w:t>
            </w:r>
            <w:r w:rsidRPr="00B13978">
              <w:rPr>
                <w:rFonts w:ascii="Arial Narrow" w:eastAsia="Times New Roman" w:hAnsi="Arial Narrow" w:cs="Calibri"/>
                <w:sz w:val="16"/>
                <w:szCs w:val="16"/>
                <w:lang w:eastAsia="en-GB"/>
              </w:rPr>
              <w:br/>
              <w:t xml:space="preserve">Qualitative. Study used a multiple case study design to analyse three Senegalese CBHI schemes. Interviews were conducted with stakeholders (individuals who affected or could affect the CBHI scheme) identified using purposive snowball sampling. Transcripts of interviews with 64 CBHI stakeholders were analysed using inductive coding. </w:t>
            </w:r>
          </w:p>
        </w:tc>
        <w:tc>
          <w:tcPr>
            <w:tcW w:w="6946" w:type="dxa"/>
            <w:hideMark/>
          </w:tcPr>
          <w:p w14:paraId="5D4F742E"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five most important themes pertaining to social values and power relations were: voluntarism, trust, solidarity, political engagement and social movements. This study found that the interconnected social values were employed by stakeholders to expand CBHI population coverage. There was a belief that the values which they saw CBHI to embody were not upheld by politicians. Many stakeholders discussed CBHI in the context of social movements perceived to be founded on shared values. Given the ambiguity of CBHI as a mechanism for promoting solidarity, it is possible that CBHI schemes could decrease dropout and increase enrolment by bringing CBHI more in line with local values.</w:t>
            </w:r>
          </w:p>
        </w:tc>
        <w:tc>
          <w:tcPr>
            <w:tcW w:w="1116" w:type="dxa"/>
            <w:hideMark/>
          </w:tcPr>
          <w:p w14:paraId="4C28E852"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 social values of public relative to/congruence with HS outcomes/ characteristics</w:t>
            </w:r>
          </w:p>
        </w:tc>
      </w:tr>
      <w:tr w:rsidR="00CB0350" w:rsidRPr="00B13978" w14:paraId="266B4934" w14:textId="77777777" w:rsidTr="002F6926">
        <w:trPr>
          <w:cnfStyle w:val="000000100000" w:firstRow="0" w:lastRow="0" w:firstColumn="0" w:lastColumn="0" w:oddVBand="0" w:evenVBand="0" w:oddHBand="1" w:evenHBand="0" w:firstRowFirstColumn="0" w:firstRowLastColumn="0" w:lastRowFirstColumn="0" w:lastRowLastColumn="0"/>
          <w:trHeight w:val="1288"/>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44916029"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Steinberg &amp; Baxter 1998</w:t>
            </w:r>
          </w:p>
        </w:tc>
        <w:tc>
          <w:tcPr>
            <w:tcW w:w="1417" w:type="dxa"/>
            <w:hideMark/>
          </w:tcPr>
          <w:p w14:paraId="1822EFF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Accountable communities: how norms and values affect health system change</w:t>
            </w:r>
          </w:p>
        </w:tc>
        <w:tc>
          <w:tcPr>
            <w:tcW w:w="5954" w:type="dxa"/>
            <w:hideMark/>
          </w:tcPr>
          <w:p w14:paraId="0F5CC63A"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explore the relationship between community norms and values and health system change in the USA</w:t>
            </w:r>
            <w:r w:rsidRPr="00B13978">
              <w:rPr>
                <w:rFonts w:ascii="Arial Narrow" w:eastAsia="Times New Roman" w:hAnsi="Arial Narrow" w:cs="Calibri"/>
                <w:sz w:val="16"/>
                <w:szCs w:val="16"/>
                <w:lang w:eastAsia="en-GB"/>
              </w:rPr>
              <w:br/>
              <w:t>Qualitative. Researchers conducted site visits to twelve randomly selected markets and conducted structured interviews between with a broad array of leaders from the health sector, business, and the community.</w:t>
            </w:r>
          </w:p>
        </w:tc>
        <w:tc>
          <w:tcPr>
            <w:tcW w:w="6946" w:type="dxa"/>
            <w:hideMark/>
          </w:tcPr>
          <w:p w14:paraId="752D5D55"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Community values can be a strong factor in shaping health system change and can influence decisions regarding network arrangements, product offerings, and the means used to control the delivery of care. Respondents espoused values around the importance of consumer choice of providers, comprehensive benefit packages, and clinical autonomy. Increasing economic and competitive pressures are forcing health care organizations and professionals to forsake their missions or values to pursue more bottom line–oriented strategies. The ability of communities to influence health system change depends on common values. </w:t>
            </w:r>
          </w:p>
        </w:tc>
        <w:tc>
          <w:tcPr>
            <w:tcW w:w="1116" w:type="dxa"/>
            <w:hideMark/>
          </w:tcPr>
          <w:p w14:paraId="686283E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 social values of public relative to/congruence with HS outcomes/ characteristics</w:t>
            </w:r>
          </w:p>
        </w:tc>
      </w:tr>
      <w:tr w:rsidR="00CB0350" w:rsidRPr="00B13978" w14:paraId="3194E1DF" w14:textId="77777777" w:rsidTr="002F6926">
        <w:trPr>
          <w:trHeight w:val="1987"/>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7CE41545"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Chinitz, Meislin, Alster-Grau. 2009</w:t>
            </w:r>
          </w:p>
        </w:tc>
        <w:tc>
          <w:tcPr>
            <w:tcW w:w="1417" w:type="dxa"/>
            <w:hideMark/>
          </w:tcPr>
          <w:p w14:paraId="5510FFE9"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Values, institutions and shifting policy paradigms: expansion of the Israeli NHI Basket of Services</w:t>
            </w:r>
          </w:p>
        </w:tc>
        <w:tc>
          <w:tcPr>
            <w:tcW w:w="5954" w:type="dxa"/>
            <w:hideMark/>
          </w:tcPr>
          <w:p w14:paraId="083673A0"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examine the roles of policy paradigms, in particular new public management and regulated competition in different areas of health policy in Israel.</w:t>
            </w:r>
            <w:r w:rsidRPr="00B13978">
              <w:rPr>
                <w:rFonts w:ascii="Arial Narrow" w:eastAsia="Times New Roman" w:hAnsi="Arial Narrow" w:cs="Calibri"/>
                <w:sz w:val="16"/>
                <w:szCs w:val="16"/>
                <w:lang w:eastAsia="en-GB"/>
              </w:rPr>
              <w:br/>
              <w:t>Mixed-methods. Quantitative data was based on a series of four surveys of the attitudes of the Israeli public and physicians regarding priority-setting for the standard basket of services provided by four health plans. Surveys included questions on knowledge and attitudes regarding the standard basket and the process used to determine it, and asked respondents to rank health vignettes and make trade-offs among competing services. Qualitative content analysis was based on documentation of the priority-setting process regarding the standard basket, in depth interviews and focus group discussions, primarily with primary care physicians and key informants in hospital settings.</w:t>
            </w:r>
          </w:p>
        </w:tc>
        <w:tc>
          <w:tcPr>
            <w:tcW w:w="6946" w:type="dxa"/>
            <w:hideMark/>
          </w:tcPr>
          <w:p w14:paraId="2BFE7CC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public indicates increased relative preference for treatments adding quality of life, shifting from prioritizing extending life, even in the case of life extending treatments in non-terminal conditions, towards increased relative preference for treatments adding quality to life. Higher than expected levels of trust in institutions dealing with health. Over two thirds of the general public indicated trust or some trust in the system. Physicians exhibit higher levels of trust in the system.</w:t>
            </w:r>
          </w:p>
        </w:tc>
        <w:tc>
          <w:tcPr>
            <w:tcW w:w="1116" w:type="dxa"/>
            <w:hideMark/>
          </w:tcPr>
          <w:p w14:paraId="5D055B8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5A8BE13D" w14:textId="77777777" w:rsidTr="002F6926">
        <w:trPr>
          <w:cnfStyle w:val="000000100000" w:firstRow="0" w:lastRow="0" w:firstColumn="0" w:lastColumn="0" w:oddVBand="0" w:evenVBand="0" w:oddHBand="1" w:evenHBand="0" w:firstRowFirstColumn="0" w:firstRowLastColumn="0" w:lastRowFirstColumn="0" w:lastRowLastColumn="0"/>
          <w:trHeight w:val="1548"/>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37A9F8B6"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Harris, Nxumalo, Ataguba, et al. 2011</w:t>
            </w:r>
          </w:p>
        </w:tc>
        <w:tc>
          <w:tcPr>
            <w:tcW w:w="1417" w:type="dxa"/>
            <w:hideMark/>
          </w:tcPr>
          <w:p w14:paraId="0EB729A6"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Social solidarity and civil servants’ willingness for financial cross-subsidization in South Africa: Implications for health financing reform</w:t>
            </w:r>
          </w:p>
        </w:tc>
        <w:tc>
          <w:tcPr>
            <w:tcW w:w="5954" w:type="dxa"/>
            <w:hideMark/>
          </w:tcPr>
          <w:p w14:paraId="23C57C61"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assess South African civil servant's familiarity with ideas of social solidarity and social insurance, and whether their need for health care is linked with their approach to income cross-subsidization. In addition, to examine whether willingness to cross-subsidize varies by socio-demographics such as race, gender, and socio-economic status.</w:t>
            </w:r>
            <w:r w:rsidRPr="00B13978">
              <w:rPr>
                <w:rFonts w:ascii="Arial Narrow" w:eastAsia="Times New Roman" w:hAnsi="Arial Narrow" w:cs="Calibri"/>
                <w:sz w:val="16"/>
                <w:szCs w:val="16"/>
                <w:lang w:eastAsia="en-GB"/>
              </w:rPr>
              <w:br/>
              <w:t xml:space="preserve">Quantitative analysis of qualitative data. Administered a structured questionnaire to 1330 health and education civil servants. Purposive sampling strategy to ensure representative sample. </w:t>
            </w:r>
          </w:p>
        </w:tc>
        <w:tc>
          <w:tcPr>
            <w:tcW w:w="6946" w:type="dxa"/>
            <w:hideMark/>
          </w:tcPr>
          <w:p w14:paraId="6A415C1E"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One third of the respondents were willing to cross-subsidize others and half favoured a progressive financing system, whereas 7.8 per cent held the view that ‘everyone should pay for their own health care’. White respondents, men, and those with low education were less likely to express willingness to pay for others. Senior managers, black Africans, or those with tertiary education more likely to choose these options than lower-skilled staff, white, Indian or Asian respondents, or those with primary or less education. Findings suggest different values or belief systems along cultural lines impact attitudes towards cross-subsidisation. </w:t>
            </w:r>
          </w:p>
        </w:tc>
        <w:tc>
          <w:tcPr>
            <w:tcW w:w="1116" w:type="dxa"/>
            <w:hideMark/>
          </w:tcPr>
          <w:p w14:paraId="6877E4A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5B55CF0B" w14:textId="77777777" w:rsidTr="002F6926">
        <w:trPr>
          <w:trHeight w:val="1635"/>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434CC3B1"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Kehoe &amp; Ponting 2003</w:t>
            </w:r>
          </w:p>
        </w:tc>
        <w:tc>
          <w:tcPr>
            <w:tcW w:w="1417" w:type="dxa"/>
            <w:hideMark/>
          </w:tcPr>
          <w:p w14:paraId="72FC31AB"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Value importance and value congruence as determinants of trust in health policy actors</w:t>
            </w:r>
          </w:p>
        </w:tc>
        <w:tc>
          <w:tcPr>
            <w:tcW w:w="5954" w:type="dxa"/>
            <w:hideMark/>
          </w:tcPr>
          <w:p w14:paraId="500A5B31"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Examines levels and determinants of trust in a health care system and in key actors in the health policy community. </w:t>
            </w:r>
            <w:r w:rsidRPr="00B13978">
              <w:rPr>
                <w:rFonts w:ascii="Arial Narrow" w:eastAsia="Times New Roman" w:hAnsi="Arial Narrow" w:cs="Calibri"/>
                <w:sz w:val="16"/>
                <w:szCs w:val="16"/>
                <w:lang w:eastAsia="en-GB"/>
              </w:rPr>
              <w:br/>
              <w:t xml:space="preserve">Quantitative. Multiple regression analysis of survey data from randomly selected participants in Calgary, Canada to identify the determinants of three different types of trust. </w:t>
            </w:r>
          </w:p>
        </w:tc>
        <w:tc>
          <w:tcPr>
            <w:tcW w:w="6946" w:type="dxa"/>
            <w:hideMark/>
          </w:tcPr>
          <w:p w14:paraId="38593A32"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Value importance and value congruence on equal accessibility are found to be important factors explaining variation in all three types of trust and outweighed most other determinants identified in the trust literature. The study found moderate levels of trust in the Alberta medical system and surprisingly low levels of trust in key actors in the health policy field. The propensity of Calgarians to withhold high levels of trust might be due to government having broken an emotional bond between Canadians and their health system.</w:t>
            </w:r>
          </w:p>
        </w:tc>
        <w:tc>
          <w:tcPr>
            <w:tcW w:w="1116" w:type="dxa"/>
            <w:hideMark/>
          </w:tcPr>
          <w:p w14:paraId="521A705F"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528598F3" w14:textId="77777777" w:rsidTr="002F6926">
        <w:trPr>
          <w:cnfStyle w:val="000000100000" w:firstRow="0" w:lastRow="0" w:firstColumn="0" w:lastColumn="0" w:oddVBand="0" w:evenVBand="0" w:oddHBand="1" w:evenHBand="0" w:firstRowFirstColumn="0" w:firstRowLastColumn="0" w:lastRowFirstColumn="0" w:lastRowLastColumn="0"/>
          <w:trHeight w:val="1836"/>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05F4AD5F"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lastRenderedPageBreak/>
              <w:t>Ridde, 2002</w:t>
            </w:r>
          </w:p>
        </w:tc>
        <w:tc>
          <w:tcPr>
            <w:tcW w:w="1417" w:type="dxa"/>
            <w:hideMark/>
          </w:tcPr>
          <w:p w14:paraId="16ABB6DC"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Equity and health policy in Africa: Using concept mapping in Moore (Burkina Faso)</w:t>
            </w:r>
          </w:p>
        </w:tc>
        <w:tc>
          <w:tcPr>
            <w:tcW w:w="5954" w:type="dxa"/>
            <w:hideMark/>
          </w:tcPr>
          <w:p w14:paraId="5492C2E1"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present the usefulness of concept mapping as a methodological approach in to understand the views of equity among local stakeholders in an African context.</w:t>
            </w:r>
            <w:r w:rsidRPr="00B13978">
              <w:rPr>
                <w:rFonts w:ascii="Arial Narrow" w:eastAsia="Times New Roman" w:hAnsi="Arial Narrow" w:cs="Calibri"/>
                <w:sz w:val="16"/>
                <w:szCs w:val="16"/>
                <w:lang w:eastAsia="en-GB"/>
              </w:rPr>
              <w:br/>
              <w:t xml:space="preserve">Qualitative. A case study of an international cooperation project of a non-governmental organization in Burkina Faso. Concept mapping was used to understand the local views of equity (translated as corresponding to social justice) among stakeholders. Two CMs were done among two different groups of local stakeholders (9 nurses and 7 village health committee members). Participants generated statements about their interpretations of social justice, which were then grouped into conceptually similar ideas. Multivariate analysis was used to allow each statement to be positioned in relation to the others in accordance with the strength of association. </w:t>
            </w:r>
          </w:p>
        </w:tc>
        <w:tc>
          <w:tcPr>
            <w:tcW w:w="6946" w:type="dxa"/>
            <w:hideMark/>
          </w:tcPr>
          <w:p w14:paraId="1D4B0AFB"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The local perception of equity seems close to the egalitarian model. The actors are not ready to compromise social stability and peace for the benefit of the worst-off. For the nurses, social justice is perceived as attributable not so much to individual behaviours, but rather to the way the whole society, and particularly the State, operates. The most important concept for them was rational and efficacious use of aid. The concept which least represents the nurses’ idea of the concept of social justice is that of social security. For the village health committee members, the most important concepts were honesty, truth, and transparency, mainly terms opposed to corruption or to the misappropriation of aid. Action was also an important notion for members. </w:t>
            </w:r>
          </w:p>
        </w:tc>
        <w:tc>
          <w:tcPr>
            <w:tcW w:w="1116" w:type="dxa"/>
            <w:hideMark/>
          </w:tcPr>
          <w:p w14:paraId="62F0FF7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5B8EBE1E" w14:textId="77777777" w:rsidTr="002F6926">
        <w:trPr>
          <w:trHeight w:val="1564"/>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6A4993DE"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Schlesinger. 2002</w:t>
            </w:r>
          </w:p>
        </w:tc>
        <w:tc>
          <w:tcPr>
            <w:tcW w:w="1417" w:type="dxa"/>
            <w:hideMark/>
          </w:tcPr>
          <w:p w14:paraId="23BA9393"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On values and democratic policy making: the deceptively fragile consensus</w:t>
            </w:r>
          </w:p>
        </w:tc>
        <w:tc>
          <w:tcPr>
            <w:tcW w:w="5954" w:type="dxa"/>
            <w:hideMark/>
          </w:tcPr>
          <w:p w14:paraId="47BC45C5"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demonstrate that the USA consensus favouring managed competition is deceptively fragile, with support riven by cleavages in the values used to judge fairness in the allocation of medical care.</w:t>
            </w:r>
            <w:r w:rsidRPr="00B13978">
              <w:rPr>
                <w:rFonts w:ascii="Arial Narrow" w:eastAsia="Times New Roman" w:hAnsi="Arial Narrow" w:cs="Calibri"/>
                <w:sz w:val="16"/>
                <w:szCs w:val="16"/>
                <w:lang w:eastAsia="en-GB"/>
              </w:rPr>
              <w:br/>
              <w:t>Qualitative. Context is explored through historical analysis. Thereafter, a unique data set of matched questions asked of both policy elites and the general public is used to assess the prevalence of support for market-oriented reforms and to determine the preferred allocations of responsibility among market proponents and opponents. Respondents were asked to consider the desirability of different strategies for social policy to meet “basic needs” in society. The study incorporated 179 intensive interviews among respondents from the general public and elites.</w:t>
            </w:r>
          </w:p>
        </w:tc>
        <w:tc>
          <w:tcPr>
            <w:tcW w:w="6946" w:type="dxa"/>
            <w:hideMark/>
          </w:tcPr>
          <w:p w14:paraId="1CCD6877"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 xml:space="preserve">the consensus favouring managed competition is deceptively fragile, with support riven by cleavages in the values used to judge fairness in the allocation of medical care. Among congressional staff there was substantial support for market reform. Market advocates among policy elites embraced allocations based on individual choices but also preferred allocations linked to productivity and were less enthusiastic about norms of need or equality. Only 41 percent of the public endorsed the market frame for social policy reform and market advocates among the public are slightly less likely to endorse individual responsibility for medical care. These differences help explain the current policy-making context. The coalition of elites favouring market reforms is inherently unstable, because liberal and conservative advocates of the market base their support on radically divergent values. </w:t>
            </w:r>
          </w:p>
        </w:tc>
        <w:tc>
          <w:tcPr>
            <w:tcW w:w="1116" w:type="dxa"/>
            <w:hideMark/>
          </w:tcPr>
          <w:p w14:paraId="0F2D652A"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77C70F42" w14:textId="77777777" w:rsidTr="002F6926">
        <w:trPr>
          <w:cnfStyle w:val="000000100000" w:firstRow="0" w:lastRow="0" w:firstColumn="0" w:lastColumn="0" w:oddVBand="0" w:evenVBand="0" w:oddHBand="1" w:evenHBand="0" w:firstRowFirstColumn="0" w:firstRowLastColumn="0" w:lastRowFirstColumn="0" w:lastRowLastColumn="0"/>
          <w:trHeight w:val="170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0E207824"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Stafinski, Menon, Marshall. 2011</w:t>
            </w:r>
          </w:p>
        </w:tc>
        <w:tc>
          <w:tcPr>
            <w:tcW w:w="1417" w:type="dxa"/>
            <w:hideMark/>
          </w:tcPr>
          <w:p w14:paraId="0EADBE7E"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Societal values in the allocation of healthcare resources</w:t>
            </w:r>
          </w:p>
        </w:tc>
        <w:tc>
          <w:tcPr>
            <w:tcW w:w="5954" w:type="dxa"/>
            <w:hideMark/>
          </w:tcPr>
          <w:p w14:paraId="3A71B134"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identify factors around which distributive preferences of the public have been sought, to create a list of social values proposed or used in current resource allocation decision making processes for new health technologies, and to review approaches to eliciting such values from the general public.</w:t>
            </w:r>
            <w:r w:rsidRPr="00B13978">
              <w:rPr>
                <w:rFonts w:ascii="Arial Narrow" w:eastAsia="Times New Roman" w:hAnsi="Arial Narrow" w:cs="Calibri"/>
                <w:sz w:val="16"/>
                <w:szCs w:val="16"/>
                <w:lang w:eastAsia="en-GB"/>
              </w:rPr>
              <w:br/>
              <w:t xml:space="preserve">Qualitative. Three approaches were used to identify material. A comprehensive review using a structured search strategy in electronic databases to identify empirical studies of public preferences; an analysis of non-technical factors or social value statements considered by technology funding decision making processes based on website searches; a review of appeals to funding decisions on grounds in part related to social value judgments. </w:t>
            </w:r>
          </w:p>
        </w:tc>
        <w:tc>
          <w:tcPr>
            <w:tcW w:w="6946" w:type="dxa"/>
            <w:hideMark/>
          </w:tcPr>
          <w:p w14:paraId="36A7F20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key factors/patient characteristics addressed through policy statements and around which distributive preferences of the public have been sought included severity of illness, immediate need, age (and its relationship to lifetime health), health gain (amount and final outcome/health state), personal responsibility for illness, caregiving responsibilities, and number of patients who could benefit (rarity).</w:t>
            </w:r>
          </w:p>
        </w:tc>
        <w:tc>
          <w:tcPr>
            <w:tcW w:w="1116" w:type="dxa"/>
            <w:hideMark/>
          </w:tcPr>
          <w:p w14:paraId="63FCE416"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Assessing or eliciting social values of/from stakeholders</w:t>
            </w:r>
          </w:p>
        </w:tc>
      </w:tr>
      <w:tr w:rsidR="00CB0350" w:rsidRPr="00B13978" w14:paraId="12162A39" w14:textId="77777777" w:rsidTr="002F6926">
        <w:trPr>
          <w:trHeight w:val="127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2AA14D11"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Abelson, Miller &amp; Giacomini. 2009</w:t>
            </w:r>
          </w:p>
        </w:tc>
        <w:tc>
          <w:tcPr>
            <w:tcW w:w="1417" w:type="dxa"/>
            <w:hideMark/>
          </w:tcPr>
          <w:p w14:paraId="091642D8"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What does it mean to trust a health system?</w:t>
            </w:r>
          </w:p>
        </w:tc>
        <w:tc>
          <w:tcPr>
            <w:tcW w:w="5954" w:type="dxa"/>
            <w:hideMark/>
          </w:tcPr>
          <w:p w14:paraId="360F1EC1"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develop meaningful conceptualizations of trust and health systems that can inform the pursuit of more trustworthy health systems.</w:t>
            </w:r>
            <w:r w:rsidRPr="00B13978">
              <w:rPr>
                <w:rFonts w:ascii="Arial Narrow" w:eastAsia="Times New Roman" w:hAnsi="Arial Narrow" w:cs="Calibri"/>
                <w:sz w:val="16"/>
                <w:szCs w:val="16"/>
                <w:lang w:eastAsia="en-GB"/>
              </w:rPr>
              <w:br/>
              <w:t xml:space="preserve">Qualitative. Review multi-disciplinary literature on trust and health systems to situate and aid interpretation of empirical qualitative findings from FGDs on Canadian's values in relation to health systems. </w:t>
            </w:r>
          </w:p>
        </w:tc>
        <w:tc>
          <w:tcPr>
            <w:tcW w:w="6946" w:type="dxa"/>
            <w:hideMark/>
          </w:tcPr>
          <w:p w14:paraId="7D1B941F"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Patient provider relationship at the centre of trust in the HS. Govt at times seen as external to HS, and as an actor working AGAINST shared interests of patients and HCWs. Common distrust of for-profit actors. Ownership matters. For-profit ownership evokes mistrust. To assess trust in health systems, or to restore apparently lost trust, we need to understand how people think about health systems and their relationships to them. “High levels of concern about falsehoods and deceptive practices, suggest transparency is highly valued. Restoring or strengthening trust in health systems will only succeed if it is conceived within a broader political and institutional context.</w:t>
            </w:r>
          </w:p>
        </w:tc>
        <w:tc>
          <w:tcPr>
            <w:tcW w:w="1116" w:type="dxa"/>
            <w:hideMark/>
          </w:tcPr>
          <w:p w14:paraId="260E6A71"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Eliciting social values from members of the public</w:t>
            </w:r>
          </w:p>
        </w:tc>
      </w:tr>
      <w:tr w:rsidR="00CB0350" w:rsidRPr="00B13978" w14:paraId="0CB51DAC" w14:textId="77777777" w:rsidTr="002F6926">
        <w:trPr>
          <w:cnfStyle w:val="000000100000" w:firstRow="0" w:lastRow="0" w:firstColumn="0" w:lastColumn="0" w:oddVBand="0" w:evenVBand="0" w:oddHBand="1" w:evenHBand="0" w:firstRowFirstColumn="0" w:firstRowLastColumn="0" w:lastRowFirstColumn="0" w:lastRowLastColumn="0"/>
          <w:trHeight w:val="1430"/>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775E96E2"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Bombard, Abelson, Simeonov, et al. 2011</w:t>
            </w:r>
          </w:p>
        </w:tc>
        <w:tc>
          <w:tcPr>
            <w:tcW w:w="1417" w:type="dxa"/>
            <w:hideMark/>
          </w:tcPr>
          <w:p w14:paraId="02CF5590"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Eliciting ethical and social values in health technology assessment</w:t>
            </w:r>
          </w:p>
        </w:tc>
        <w:tc>
          <w:tcPr>
            <w:tcW w:w="5954" w:type="dxa"/>
            <w:hideMark/>
          </w:tcPr>
          <w:p w14:paraId="671239B8"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elicit a set of ethical and social values from citizens that could be used to guide Ontario’s HTA evidentiary review and appraisal process, and to explore the feasibility of using participatory approaches to elicit these values.</w:t>
            </w:r>
            <w:r w:rsidRPr="00B13978">
              <w:rPr>
                <w:rFonts w:ascii="Arial Narrow" w:eastAsia="Times New Roman" w:hAnsi="Arial Narrow" w:cs="Calibri"/>
                <w:sz w:val="16"/>
                <w:szCs w:val="16"/>
                <w:lang w:eastAsia="en-GB"/>
              </w:rPr>
              <w:br/>
              <w:t xml:space="preserve">Qualitative. A 14-person Citizens’ Reference Panel on Health Technologies was established. Informed, deliberative discussions were combined with pre- and post-questionnaires, which assessed the relative importance of various ethical and social values as well as their stability over time. </w:t>
            </w:r>
          </w:p>
        </w:tc>
        <w:tc>
          <w:tcPr>
            <w:tcW w:w="6946" w:type="dxa"/>
            <w:hideMark/>
          </w:tcPr>
          <w:p w14:paraId="413D41D4"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Core values identified by panel members were universal access, choice and quality care. Public engagement offers an informed and participatory approach to</w:t>
            </w:r>
            <w:r w:rsidRPr="00B13978">
              <w:rPr>
                <w:rFonts w:ascii="Arial Narrow" w:eastAsia="Times New Roman" w:hAnsi="Arial Narrow" w:cs="Calibri"/>
                <w:sz w:val="16"/>
                <w:szCs w:val="16"/>
                <w:lang w:eastAsia="en-GB"/>
              </w:rPr>
              <w:br/>
              <w:t>eliciting ethical and social values for HTA. Deliberation about the use and diffusion of new health technology fostered a process of making public values explicit.</w:t>
            </w:r>
          </w:p>
        </w:tc>
        <w:tc>
          <w:tcPr>
            <w:tcW w:w="1116" w:type="dxa"/>
            <w:hideMark/>
          </w:tcPr>
          <w:p w14:paraId="661347C4" w14:textId="77777777" w:rsidR="00CB0350" w:rsidRPr="00B13978" w:rsidRDefault="00CB0350" w:rsidP="002F6926">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Eliciting social values from members of the public</w:t>
            </w:r>
          </w:p>
        </w:tc>
      </w:tr>
      <w:tr w:rsidR="00CB0350" w:rsidRPr="00B13978" w14:paraId="49F0DE5B" w14:textId="77777777" w:rsidTr="002F6926">
        <w:trPr>
          <w:trHeight w:val="1536"/>
          <w:jc w:val="center"/>
        </w:trPr>
        <w:tc>
          <w:tcPr>
            <w:cnfStyle w:val="001000000000" w:firstRow="0" w:lastRow="0" w:firstColumn="1" w:lastColumn="0" w:oddVBand="0" w:evenVBand="0" w:oddHBand="0" w:evenHBand="0" w:firstRowFirstColumn="0" w:firstRowLastColumn="0" w:lastRowFirstColumn="0" w:lastRowLastColumn="0"/>
            <w:tcW w:w="601" w:type="dxa"/>
            <w:textDirection w:val="btLr"/>
            <w:hideMark/>
          </w:tcPr>
          <w:p w14:paraId="1B3FFF71" w14:textId="77777777" w:rsidR="00CB0350" w:rsidRPr="00B13978" w:rsidRDefault="00CB0350" w:rsidP="002F6926">
            <w:pPr>
              <w:jc w:val="center"/>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Bouwman, Bomhoff, De Jong, et al. 2015</w:t>
            </w:r>
          </w:p>
        </w:tc>
        <w:tc>
          <w:tcPr>
            <w:tcW w:w="1417" w:type="dxa"/>
            <w:hideMark/>
          </w:tcPr>
          <w:p w14:paraId="01374F1F"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The public’s voice about healthcare quality regulation policies</w:t>
            </w:r>
          </w:p>
        </w:tc>
        <w:tc>
          <w:tcPr>
            <w:tcW w:w="5954" w:type="dxa"/>
            <w:hideMark/>
          </w:tcPr>
          <w:p w14:paraId="41E30D29"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To explore possible discrepancies between public values and opinions and current healthcare quality regulation policies.</w:t>
            </w:r>
            <w:r w:rsidRPr="00B13978">
              <w:rPr>
                <w:rFonts w:ascii="Arial Narrow" w:eastAsia="Times New Roman" w:hAnsi="Arial Narrow" w:cs="Calibri"/>
                <w:sz w:val="16"/>
                <w:szCs w:val="16"/>
                <w:lang w:eastAsia="en-GB"/>
              </w:rPr>
              <w:br/>
              <w:t xml:space="preserve">Quantitative. Developed questions reflecting the concepts of the theory of ‘responsive regulation’, ‘high trust, high penalty’, and ‘tripartism’. The questionnaire was submitted to a sample of 1500 members of the Dutch Healthcare Consumer Panel. For each sector (healthcare, education and food service) respondents could rate responsibility on a five-point scale for each of the seven stakeholders.  </w:t>
            </w:r>
          </w:p>
        </w:tc>
        <w:tc>
          <w:tcPr>
            <w:tcW w:w="6946" w:type="dxa"/>
            <w:hideMark/>
          </w:tcPr>
          <w:p w14:paraId="3E7CC0E0"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Respondents fel</w:t>
            </w:r>
            <w:r>
              <w:rPr>
                <w:rFonts w:ascii="Arial Narrow" w:eastAsia="Times New Roman" w:hAnsi="Arial Narrow" w:cs="Calibri"/>
                <w:sz w:val="16"/>
                <w:szCs w:val="16"/>
                <w:lang w:eastAsia="en-GB"/>
              </w:rPr>
              <w:t>t</w:t>
            </w:r>
            <w:r w:rsidRPr="00B13978">
              <w:rPr>
                <w:rFonts w:ascii="Arial Narrow" w:eastAsia="Times New Roman" w:hAnsi="Arial Narrow" w:cs="Calibri"/>
                <w:sz w:val="16"/>
                <w:szCs w:val="16"/>
                <w:lang w:eastAsia="en-GB"/>
              </w:rPr>
              <w:t xml:space="preserve"> the Inspectorate should bear most responsibility for the quality of healthcare. Next in ranking came the care providers, the minister, and then managers. Patients were rated to bear the least responsible for quality of healthcare. Most respondents agreed that the Inspectorate should publish poor care delivery on its website. Slightly more than half indicated that the Inspectorate should issue a fine when poor care was provided. The majority of the public do not support decentralisation of responsibilities of the regulator, but do agree that the patients’ voice and especially their complaints should play a pivotal role in regulatory policies.</w:t>
            </w:r>
          </w:p>
        </w:tc>
        <w:tc>
          <w:tcPr>
            <w:tcW w:w="1116" w:type="dxa"/>
            <w:hideMark/>
          </w:tcPr>
          <w:p w14:paraId="530034A7" w14:textId="77777777" w:rsidR="00CB0350" w:rsidRPr="00B13978" w:rsidRDefault="00CB0350" w:rsidP="002F6926">
            <w:pP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alibri"/>
                <w:sz w:val="16"/>
                <w:szCs w:val="16"/>
                <w:lang w:eastAsia="en-GB"/>
              </w:rPr>
            </w:pPr>
            <w:r w:rsidRPr="00B13978">
              <w:rPr>
                <w:rFonts w:ascii="Arial Narrow" w:eastAsia="Times New Roman" w:hAnsi="Arial Narrow" w:cs="Calibri"/>
                <w:sz w:val="16"/>
                <w:szCs w:val="16"/>
                <w:lang w:eastAsia="en-GB"/>
              </w:rPr>
              <w:t>Eliciting social values from members of the public</w:t>
            </w:r>
          </w:p>
        </w:tc>
      </w:tr>
    </w:tbl>
    <w:p w14:paraId="6EF0D9D0" w14:textId="30C8AECE" w:rsidR="00CB0350" w:rsidRPr="00B13978" w:rsidRDefault="00CB0350" w:rsidP="00CB0350">
      <w:pPr>
        <w:sectPr w:rsidR="00CB0350" w:rsidRPr="00B13978" w:rsidSect="00F3481A">
          <w:pgSz w:w="16838" w:h="11906" w:orient="landscape"/>
          <w:pgMar w:top="720" w:right="720" w:bottom="720" w:left="720" w:header="709" w:footer="709" w:gutter="0"/>
          <w:cols w:space="708"/>
          <w:docGrid w:linePitch="360"/>
        </w:sectPr>
      </w:pPr>
      <w:bookmarkStart w:id="0" w:name="_GoBack"/>
      <w:bookmarkEnd w:id="0"/>
    </w:p>
    <w:p w14:paraId="28E0FFB8" w14:textId="77777777" w:rsidR="00CB0350" w:rsidRPr="00B13978" w:rsidRDefault="00CB0350" w:rsidP="00CB0350">
      <w:r w:rsidRPr="00B13978">
        <w:lastRenderedPageBreak/>
        <w:fldChar w:fldCharType="begin"/>
      </w:r>
      <w:r w:rsidRPr="00B13978">
        <w:instrText xml:space="preserve"> ADDIN </w:instrText>
      </w:r>
      <w:r w:rsidRPr="00B13978">
        <w:fldChar w:fldCharType="end"/>
      </w:r>
    </w:p>
    <w:p w14:paraId="4F2E8688" w14:textId="77777777" w:rsidR="00880143" w:rsidRDefault="00880143"/>
    <w:sectPr w:rsidR="00880143" w:rsidSect="007C2C32">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50"/>
    <w:rsid w:val="005E4050"/>
    <w:rsid w:val="00861C2E"/>
    <w:rsid w:val="00880143"/>
    <w:rsid w:val="00C37317"/>
    <w:rsid w:val="00CB03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309F1"/>
  <w15:chartTrackingRefBased/>
  <w15:docId w15:val="{1304DD61-9F90-464A-8E75-A74F9947E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3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2">
    <w:name w:val="Grid Table 2"/>
    <w:basedOn w:val="TableNormal"/>
    <w:uiPriority w:val="47"/>
    <w:rsid w:val="00CB035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C90CD-2E21-4B89-8CC9-29A40B90A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4786</Words>
  <Characters>27282</Characters>
  <Application>Microsoft Office Word</Application>
  <DocSecurity>0</DocSecurity>
  <Lines>227</Lines>
  <Paragraphs>64</Paragraphs>
  <ScaleCrop>false</ScaleCrop>
  <Company/>
  <LinksUpToDate>false</LinksUpToDate>
  <CharactersWithSpaces>32004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Whyle</dc:creator>
  <cp:keywords/>
  <dc:description/>
  <cp:lastModifiedBy>Eleanor Whyle</cp:lastModifiedBy>
  <cp:revision>1</cp:revision>
  <dcterms:created xsi:type="dcterms:W3CDTF">2019-12-07T23:41:00Z</dcterms:created>
  <dcterms:modified xsi:type="dcterms:W3CDTF">2019-12-07T23:51:00Z</dcterms:modified>
</cp:coreProperties>
</file>