
<file path=[Content_Types].xml><?xml version="1.0" encoding="utf-8"?>
<Types xmlns="http://schemas.openxmlformats.org/package/2006/content-types">
  <Default Extension="jp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923210" w14:textId="7282C274" w:rsidR="005A3591" w:rsidRDefault="005B5D32" w:rsidP="001767EF">
      <w:pPr>
        <w:pStyle w:val="Heading1"/>
      </w:pPr>
      <w:r>
        <w:t>First set of robustness tests conducted for OMP2018</w:t>
      </w:r>
    </w:p>
    <w:p w14:paraId="13C87883" w14:textId="77777777" w:rsidR="000123C4" w:rsidRDefault="000123C4" w:rsidP="000123C4">
      <w:pPr>
        <w:jc w:val="center"/>
        <w:rPr>
          <w:i/>
        </w:rPr>
      </w:pPr>
      <w:r>
        <w:rPr>
          <w:i/>
        </w:rPr>
        <w:t>A. Ross-Gillespie and D.S. Butterworth</w:t>
      </w:r>
      <w:r>
        <w:rPr>
          <w:rStyle w:val="FootnoteReference"/>
          <w:i/>
        </w:rPr>
        <w:footnoteReference w:id="1"/>
      </w:r>
    </w:p>
    <w:p w14:paraId="5330F96F" w14:textId="53E0D944" w:rsidR="000123C4" w:rsidRDefault="000123C4" w:rsidP="0009317F">
      <w:pPr>
        <w:jc w:val="center"/>
        <w:rPr>
          <w:b/>
        </w:rPr>
      </w:pPr>
      <w:r>
        <w:rPr>
          <w:i/>
        </w:rPr>
        <w:t>Email: mlland028@myuct.ac.za</w:t>
      </w:r>
    </w:p>
    <w:p w14:paraId="18DDF669" w14:textId="7565C957" w:rsidR="000123C4" w:rsidRDefault="000123C4" w:rsidP="000123C4">
      <w:pPr>
        <w:jc w:val="center"/>
        <w:rPr>
          <w:b/>
        </w:rPr>
      </w:pPr>
      <w:r w:rsidRPr="00281F9F">
        <w:rPr>
          <w:b/>
        </w:rPr>
        <w:t>Summary</w:t>
      </w:r>
    </w:p>
    <w:p w14:paraId="1642E0E1" w14:textId="563AA3C8" w:rsidR="000123C4" w:rsidRPr="00934552" w:rsidRDefault="00A20515" w:rsidP="00934552">
      <w:pPr>
        <w:ind w:left="1134" w:right="1134"/>
        <w:jc w:val="both"/>
        <w:rPr>
          <w:rFonts w:ascii="Calibri" w:eastAsiaTheme="majorEastAsia" w:hAnsi="Calibri" w:cstheme="majorBidi"/>
          <w:b/>
          <w:szCs w:val="20"/>
        </w:rPr>
      </w:pPr>
      <w:r>
        <w:rPr>
          <w:szCs w:val="20"/>
        </w:rPr>
        <w:t>Results are presented for a total of ten robustness tests. The first five robustness tests investigate alternative assumptions regarding future surveys and commercial catchability. Further robustness tests involve testing alternative mortality-at-age vectors and sensitivity to data arising from different species splitting algorithms. T</w:t>
      </w:r>
      <w:bookmarkStart w:id="0" w:name="_GoBack"/>
      <w:bookmarkEnd w:id="0"/>
      <w:r>
        <w:rPr>
          <w:szCs w:val="20"/>
        </w:rPr>
        <w:t xml:space="preserve">he </w:t>
      </w:r>
      <w:r w:rsidR="00BD010D">
        <w:rPr>
          <w:szCs w:val="20"/>
        </w:rPr>
        <w:t>final</w:t>
      </w:r>
      <w:r>
        <w:rPr>
          <w:szCs w:val="20"/>
        </w:rPr>
        <w:t xml:space="preserve"> robustness tests explored in this document decrease past or future carrying capacity, simulating a situation where </w:t>
      </w:r>
      <w:r w:rsidR="00BD010D">
        <w:rPr>
          <w:szCs w:val="20"/>
        </w:rPr>
        <w:t xml:space="preserve">expected </w:t>
      </w:r>
      <w:r>
        <w:rPr>
          <w:szCs w:val="20"/>
        </w:rPr>
        <w:t>recruitment fails.</w:t>
      </w:r>
      <w:r w:rsidR="00B274A8">
        <w:rPr>
          <w:szCs w:val="20"/>
        </w:rPr>
        <w:t xml:space="preserve"> For all robustness tests, simulations suggest that OMP2018 is able to provide adequate management advice for the situations simulated. For robustness tests simulating predictable situations</w:t>
      </w:r>
      <w:r w:rsidR="0050138A">
        <w:rPr>
          <w:szCs w:val="20"/>
        </w:rPr>
        <w:t xml:space="preserve"> (e.g. if it were known</w:t>
      </w:r>
      <w:r w:rsidR="00BD010D">
        <w:rPr>
          <w:szCs w:val="20"/>
        </w:rPr>
        <w:t xml:space="preserve"> that surveys would be discontinued in the future)</w:t>
      </w:r>
      <w:r w:rsidR="00B274A8">
        <w:rPr>
          <w:szCs w:val="20"/>
        </w:rPr>
        <w:t>, the OMP needs to be re-tuned to avoid adverse impacts on TACs and/or resource status.</w:t>
      </w:r>
      <w:r w:rsidR="00ED7F66" w:rsidRPr="00ED7F66">
        <w:t xml:space="preserve"> </w:t>
      </w:r>
      <w:r w:rsidR="003B3850" w:rsidRPr="00021626">
        <w:t xml:space="preserve">The </w:t>
      </w:r>
      <w:r w:rsidR="00ED7F66" w:rsidRPr="00021626">
        <w:t>Appendix reports the results of three additional robustness tests concerning future surveys</w:t>
      </w:r>
      <w:r w:rsidR="003B3850" w:rsidRPr="00021626">
        <w:t xml:space="preserve"> requested by the Panel during the course of the workshop</w:t>
      </w:r>
      <w:r w:rsidR="00C6178A" w:rsidRPr="00021626">
        <w:t>, none of which indicated that OMP2018 would not be able to provide adequate management advice.</w:t>
      </w:r>
    </w:p>
    <w:p w14:paraId="1EB9DD33" w14:textId="32035011" w:rsidR="000123C4" w:rsidRDefault="000123C4" w:rsidP="000123C4">
      <w:pPr>
        <w:pStyle w:val="Heading2"/>
      </w:pPr>
      <w:r>
        <w:t>Introduction</w:t>
      </w:r>
    </w:p>
    <w:p w14:paraId="36058EB7" w14:textId="76A9010C" w:rsidR="008B5525" w:rsidRDefault="008B5525" w:rsidP="00F47671">
      <w:pPr>
        <w:jc w:val="both"/>
      </w:pPr>
      <w:r>
        <w:t>This document provide</w:t>
      </w:r>
      <w:r w:rsidR="00BD010D">
        <w:t>s</w:t>
      </w:r>
      <w:r>
        <w:t xml:space="preserve"> a full set of results for the</w:t>
      </w:r>
      <w:r w:rsidR="005B5D32">
        <w:t xml:space="preserve"> robustness tests conducted for OMP2018 prior to the acceptance of the OMP, which </w:t>
      </w:r>
      <w:r w:rsidR="00F47671">
        <w:t>imposes</w:t>
      </w:r>
      <w:r>
        <w:t xml:space="preserve"> a cap of 160 000t and increas</w:t>
      </w:r>
      <w:r w:rsidR="00F47671">
        <w:t>es</w:t>
      </w:r>
      <w:r>
        <w:t xml:space="preserve"> the </w:t>
      </w:r>
      <w:r w:rsidR="00BD010D">
        <w:t xml:space="preserve">previous </w:t>
      </w:r>
      <w:r w:rsidR="00F47671">
        <w:t xml:space="preserve">OMP tuning </w:t>
      </w:r>
      <w:r>
        <w:t>parameter</w:t>
      </w:r>
      <w:r w:rsidR="00F858C8">
        <w:t>s</w:t>
      </w:r>
      <w:r w:rsidR="00F47671" w:rsidRPr="00F47671">
        <w:rPr>
          <w:i/>
        </w:rPr>
        <w:t xml:space="preserve"> </w:t>
      </w:r>
      <w:r w:rsidR="00F47671">
        <w:rPr>
          <w:i/>
        </w:rPr>
        <w:t>b</w:t>
      </w:r>
      <w:r w:rsidR="00F858C8" w:rsidRPr="000D1521">
        <w:rPr>
          <w:i/>
          <w:vertAlign w:val="subscript"/>
        </w:rPr>
        <w:t>s</w:t>
      </w:r>
      <w:r>
        <w:t xml:space="preserve"> </w:t>
      </w:r>
      <w:r w:rsidR="00F47671">
        <w:t>(the parameter</w:t>
      </w:r>
      <w:r w:rsidR="00F858C8">
        <w:t>s</w:t>
      </w:r>
      <w:r w:rsidR="00F47671">
        <w:t xml:space="preserve"> which determine the extent to which TAC responds to changes in survey and CPUE indices) </w:t>
      </w:r>
      <w:r>
        <w:t>by 5%</w:t>
      </w:r>
      <w:r w:rsidR="00204A27">
        <w:rPr>
          <w:rStyle w:val="FootnoteReference"/>
        </w:rPr>
        <w:footnoteReference w:id="2"/>
      </w:r>
      <w:r>
        <w:t>.</w:t>
      </w:r>
      <w:r w:rsidR="00F47671">
        <w:t xml:space="preserve"> Furthermore, OMP2018 fixes the 2019 and 2020 TAC at the 2018 TAC increased by 10%</w:t>
      </w:r>
      <w:r w:rsidR="00A17C9F">
        <w:t xml:space="preserve"> (i.e. an increase from 133 119t to 146 431t)</w:t>
      </w:r>
      <w:r w:rsidR="00F47671">
        <w:t>.</w:t>
      </w:r>
    </w:p>
    <w:p w14:paraId="3B6946B7" w14:textId="4C9A0E5D" w:rsidR="00BF5F00" w:rsidRDefault="005B5D32" w:rsidP="00F47671">
      <w:pPr>
        <w:jc w:val="both"/>
      </w:pPr>
      <w:r>
        <w:t xml:space="preserve">Results for a total of ten robustness tests are included in this document. </w:t>
      </w:r>
      <w:r w:rsidR="00321381">
        <w:t xml:space="preserve">Given time constraints, these robustness tests were conducted for the Reference Case (RC) Operating Model (OM) only – this is the RS02 OM that assumes a Ricker stock-recruitment relationship </w:t>
      </w:r>
      <w:r w:rsidR="009B6A2C">
        <w:t xml:space="preserve">with 1958 as the central year of </w:t>
      </w:r>
      <w:r w:rsidR="00BD010D">
        <w:t>the species</w:t>
      </w:r>
      <w:r w:rsidR="009B6A2C">
        <w:t xml:space="preserve"> shift</w:t>
      </w:r>
      <w:r w:rsidR="007B690A">
        <w:t xml:space="preserve"> </w:t>
      </w:r>
      <w:r w:rsidR="00BD010D">
        <w:t xml:space="preserve">in the catch </w:t>
      </w:r>
      <w:r w:rsidR="007B690A">
        <w:t xml:space="preserve">(see </w:t>
      </w:r>
      <w:r w:rsidR="00034CE9" w:rsidRPr="00034CE9">
        <w:t>MARAM/IWS/2018/Hake/P3).</w:t>
      </w:r>
      <w:r w:rsidR="009B6A2C">
        <w:t xml:space="preserve"> </w:t>
      </w:r>
    </w:p>
    <w:p w14:paraId="2B9995D5" w14:textId="4F84F9A0" w:rsidR="00DD77A2" w:rsidRDefault="00E67FD1" w:rsidP="00F47671">
      <w:pPr>
        <w:jc w:val="both"/>
      </w:pPr>
      <w:r>
        <w:t xml:space="preserve">The first five robustness tests </w:t>
      </w:r>
      <w:r w:rsidR="004F2E8A">
        <w:t>relate to assumptions regarding future surveys</w:t>
      </w:r>
      <w:r w:rsidR="001733CB">
        <w:t>. Note that the RC model assumes that two surveys (West Coast (WC) and South Coast (SC)) will be conducted each year by the research vessel.</w:t>
      </w:r>
    </w:p>
    <w:p w14:paraId="3142B07D" w14:textId="64C80BD0" w:rsidR="004F2E8A" w:rsidRPr="005C455A" w:rsidRDefault="00770C8F" w:rsidP="00770C8F">
      <w:pPr>
        <w:pStyle w:val="Style1"/>
      </w:pPr>
      <w:r>
        <w:t xml:space="preserve">RT1: </w:t>
      </w:r>
      <w:r w:rsidR="004F2E8A" w:rsidRPr="005C455A">
        <w:t>No future surveys</w:t>
      </w:r>
      <w:r w:rsidR="005C455A" w:rsidRPr="005C455A">
        <w:t xml:space="preserve"> (</w:t>
      </w:r>
      <w:r w:rsidR="005C455A" w:rsidRPr="00616421">
        <w:rPr>
          <w:b/>
        </w:rPr>
        <w:t>NS</w:t>
      </w:r>
      <w:r w:rsidR="005C455A" w:rsidRPr="005C455A">
        <w:t>)</w:t>
      </w:r>
    </w:p>
    <w:p w14:paraId="3654CC34" w14:textId="44D7CA51" w:rsidR="005C455A" w:rsidRDefault="005C455A" w:rsidP="005C455A">
      <w:pPr>
        <w:jc w:val="both"/>
      </w:pPr>
      <w:r>
        <w:t xml:space="preserve">For missing surveys, the OMP formula for the TAC calculation is adjusted so that the survey indices are removed from the calculation </w:t>
      </w:r>
      <w:r w:rsidR="001733CB">
        <w:t>(</w:t>
      </w:r>
      <w:r w:rsidR="00034CE9" w:rsidRPr="00BA1A7A">
        <w:t>see MARAM/IWS/2018/Hake/BG4</w:t>
      </w:r>
      <w:r w:rsidR="001733CB" w:rsidRPr="00BA1A7A">
        <w:t>)</w:t>
      </w:r>
      <w:r w:rsidRPr="00BA1A7A">
        <w:t>.</w:t>
      </w:r>
    </w:p>
    <w:p w14:paraId="4AACA653" w14:textId="3F03223F" w:rsidR="004F2E8A" w:rsidRPr="005C455A" w:rsidRDefault="00770C8F" w:rsidP="00770C8F">
      <w:pPr>
        <w:pStyle w:val="Style1"/>
      </w:pPr>
      <w:r>
        <w:t xml:space="preserve">RT2: </w:t>
      </w:r>
      <w:r w:rsidR="004F2E8A" w:rsidRPr="005C455A">
        <w:t>All future surveys are conducted by industry vessels</w:t>
      </w:r>
      <w:r w:rsidR="005C455A" w:rsidRPr="005C455A">
        <w:t xml:space="preserve"> (</w:t>
      </w:r>
      <w:r w:rsidR="005C455A" w:rsidRPr="00616421">
        <w:rPr>
          <w:b/>
        </w:rPr>
        <w:t>AI</w:t>
      </w:r>
      <w:r w:rsidR="005C455A" w:rsidRPr="005C455A">
        <w:t>)</w:t>
      </w:r>
    </w:p>
    <w:p w14:paraId="3D5EFCBB" w14:textId="77777777" w:rsidR="005C455A" w:rsidRDefault="005C455A" w:rsidP="005C455A">
      <w:pPr>
        <w:jc w:val="both"/>
      </w:pPr>
      <w:r>
        <w:t>The standard method for generating future survey indices 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
        <w:gridCol w:w="8034"/>
        <w:gridCol w:w="909"/>
      </w:tblGrid>
      <w:tr w:rsidR="005C455A" w14:paraId="2A022115" w14:textId="77777777" w:rsidTr="00AB1ACA">
        <w:tc>
          <w:tcPr>
            <w:tcW w:w="709" w:type="dxa"/>
          </w:tcPr>
          <w:p w14:paraId="00127092" w14:textId="77777777" w:rsidR="005C455A" w:rsidRDefault="005C455A" w:rsidP="00AB1ACA">
            <w:pPr>
              <w:jc w:val="both"/>
            </w:pPr>
          </w:p>
        </w:tc>
        <w:tc>
          <w:tcPr>
            <w:tcW w:w="8222" w:type="dxa"/>
          </w:tcPr>
          <w:p w14:paraId="5E755453" w14:textId="77777777" w:rsidR="005C455A" w:rsidRDefault="004719FD" w:rsidP="00AB1ACA">
            <w:pPr>
              <w:jc w:val="both"/>
            </w:pPr>
            <m:oMathPara>
              <m:oMath>
                <m:sSubSup>
                  <m:sSubSupPr>
                    <m:ctrlPr>
                      <w:rPr>
                        <w:rFonts w:ascii="Cambria Math" w:hAnsi="Cambria Math"/>
                        <w:i/>
                      </w:rPr>
                    </m:ctrlPr>
                  </m:sSubSupPr>
                  <m:e>
                    <m:r>
                      <w:rPr>
                        <w:rFonts w:ascii="Cambria Math" w:hAnsi="Cambria Math"/>
                      </w:rPr>
                      <m:t>I</m:t>
                    </m:r>
                  </m:e>
                  <m:sub>
                    <m:r>
                      <w:rPr>
                        <w:rFonts w:ascii="Cambria Math" w:hAnsi="Cambria Math"/>
                      </w:rPr>
                      <m:t>y</m:t>
                    </m:r>
                  </m:sub>
                  <m:sup>
                    <m:r>
                      <w:rPr>
                        <w:rFonts w:ascii="Cambria Math" w:hAnsi="Cambria Math"/>
                      </w:rPr>
                      <m:t>surv</m:t>
                    </m:r>
                  </m:sup>
                </m:sSubSup>
                <m:r>
                  <w:rPr>
                    <w:rFonts w:ascii="Cambria Math" w:hAnsi="Cambria Math"/>
                  </w:rPr>
                  <m:t>=</m:t>
                </m:r>
                <m:sSubSup>
                  <m:sSubSupPr>
                    <m:ctrlPr>
                      <w:rPr>
                        <w:rFonts w:ascii="Cambria Math" w:hAnsi="Cambria Math"/>
                        <w:i/>
                      </w:rPr>
                    </m:ctrlPr>
                  </m:sSubSupPr>
                  <m:e>
                    <m:sSup>
                      <m:sSupPr>
                        <m:ctrlPr>
                          <w:rPr>
                            <w:rFonts w:ascii="Cambria Math" w:hAnsi="Cambria Math"/>
                            <w:i/>
                          </w:rPr>
                        </m:ctrlPr>
                      </m:sSupPr>
                      <m:e>
                        <m:r>
                          <w:rPr>
                            <w:rFonts w:ascii="Cambria Math" w:hAnsi="Cambria Math"/>
                          </w:rPr>
                          <m:t>q</m:t>
                        </m:r>
                      </m:e>
                      <m:sup>
                        <m:r>
                          <w:rPr>
                            <w:rFonts w:ascii="Cambria Math" w:hAnsi="Cambria Math"/>
                          </w:rPr>
                          <m:t>surv</m:t>
                        </m:r>
                      </m:sup>
                    </m:sSup>
                    <m:r>
                      <w:rPr>
                        <w:rFonts w:ascii="Cambria Math" w:hAnsi="Cambria Math"/>
                      </w:rPr>
                      <m:t>B</m:t>
                    </m:r>
                  </m:e>
                  <m:sub>
                    <m:r>
                      <w:rPr>
                        <w:rFonts w:ascii="Cambria Math" w:hAnsi="Cambria Math"/>
                      </w:rPr>
                      <m:t>y</m:t>
                    </m:r>
                  </m:sub>
                  <m:sup>
                    <m:r>
                      <w:rPr>
                        <w:rFonts w:ascii="Cambria Math" w:hAnsi="Cambria Math"/>
                      </w:rPr>
                      <m:t>surv</m:t>
                    </m:r>
                  </m:sup>
                </m:sSubSup>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ϵ</m:t>
                        </m:r>
                      </m:e>
                      <m:sub>
                        <m:r>
                          <w:rPr>
                            <w:rFonts w:ascii="Cambria Math" w:hAnsi="Cambria Math"/>
                          </w:rPr>
                          <m:t>y</m:t>
                        </m:r>
                      </m:sub>
                    </m:sSub>
                  </m:sup>
                </m:sSup>
              </m:oMath>
            </m:oMathPara>
          </w:p>
        </w:tc>
        <w:tc>
          <w:tcPr>
            <w:tcW w:w="923" w:type="dxa"/>
          </w:tcPr>
          <w:p w14:paraId="5630D256" w14:textId="77777777" w:rsidR="005C455A" w:rsidRDefault="005C455A" w:rsidP="00AB1ACA">
            <w:pPr>
              <w:jc w:val="center"/>
            </w:pPr>
            <w:r>
              <w:t>(1)</w:t>
            </w:r>
          </w:p>
        </w:tc>
      </w:tr>
    </w:tbl>
    <w:p w14:paraId="2EBBF56D" w14:textId="47F0EA60" w:rsidR="005C455A" w:rsidRPr="005C455A" w:rsidRDefault="005C455A" w:rsidP="005C455A">
      <w:pPr>
        <w:spacing w:before="120"/>
        <w:jc w:val="both"/>
        <w:rPr>
          <w:rFonts w:eastAsiaTheme="minorEastAsia"/>
        </w:rPr>
      </w:pPr>
      <w:r>
        <w:t xml:space="preserve">where </w:t>
      </w:r>
      <m:oMath>
        <m:sSubSup>
          <m:sSubSupPr>
            <m:ctrlPr>
              <w:rPr>
                <w:rFonts w:ascii="Cambria Math" w:hAnsi="Cambria Math"/>
                <w:i/>
              </w:rPr>
            </m:ctrlPr>
          </m:sSubSupPr>
          <m:e>
            <m:r>
              <w:rPr>
                <w:rFonts w:ascii="Cambria Math" w:hAnsi="Cambria Math"/>
              </w:rPr>
              <m:t>I</m:t>
            </m:r>
          </m:e>
          <m:sub>
            <m:r>
              <w:rPr>
                <w:rFonts w:ascii="Cambria Math" w:hAnsi="Cambria Math"/>
              </w:rPr>
              <m:t>y</m:t>
            </m:r>
          </m:sub>
          <m:sup>
            <m:r>
              <w:rPr>
                <w:rFonts w:ascii="Cambria Math" w:hAnsi="Cambria Math"/>
              </w:rPr>
              <m:t>surv</m:t>
            </m:r>
          </m:sup>
        </m:sSubSup>
      </m:oMath>
      <w:r w:rsidRPr="005C455A">
        <w:rPr>
          <w:rFonts w:eastAsiaTheme="minorEastAsia"/>
        </w:rPr>
        <w:t xml:space="preserve"> is the survey index generated for year </w:t>
      </w:r>
      <w:r w:rsidRPr="005C455A">
        <w:rPr>
          <w:rFonts w:eastAsiaTheme="minorEastAsia"/>
          <w:i/>
        </w:rPr>
        <w:t>y</w:t>
      </w:r>
      <w:r w:rsidRPr="005C455A">
        <w:rPr>
          <w:rFonts w:eastAsiaTheme="minorEastAsia"/>
        </w:rPr>
        <w:t>,</w:t>
      </w:r>
      <m:oMath>
        <m:r>
          <w:rPr>
            <w:rFonts w:ascii="Cambria Math" w:hAnsi="Cambria Math"/>
          </w:rPr>
          <m:t xml:space="preserve"> </m:t>
        </m:r>
        <m:sSup>
          <m:sSupPr>
            <m:ctrlPr>
              <w:rPr>
                <w:rFonts w:ascii="Cambria Math" w:hAnsi="Cambria Math"/>
                <w:i/>
              </w:rPr>
            </m:ctrlPr>
          </m:sSupPr>
          <m:e>
            <m:r>
              <w:rPr>
                <w:rFonts w:ascii="Cambria Math" w:hAnsi="Cambria Math"/>
              </w:rPr>
              <m:t>q</m:t>
            </m:r>
          </m:e>
          <m:sup>
            <m:r>
              <w:rPr>
                <w:rFonts w:ascii="Cambria Math" w:hAnsi="Cambria Math"/>
              </w:rPr>
              <m:t>surv</m:t>
            </m:r>
          </m:sup>
        </m:sSup>
      </m:oMath>
      <w:r w:rsidRPr="005C455A">
        <w:rPr>
          <w:rFonts w:eastAsiaTheme="minorEastAsia"/>
        </w:rPr>
        <w:t xml:space="preserve"> is the survey catchability coefficient estimated when fitting the Operating Model (OM), </w:t>
      </w:r>
      <m:oMath>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surv</m:t>
            </m:r>
          </m:sup>
        </m:sSubSup>
      </m:oMath>
      <w:r w:rsidRPr="005C455A">
        <w:rPr>
          <w:rFonts w:eastAsiaTheme="minorEastAsia"/>
        </w:rPr>
        <w:t xml:space="preserve"> is the survey biomass for year </w:t>
      </w:r>
      <w:r w:rsidRPr="005C455A">
        <w:rPr>
          <w:rFonts w:eastAsiaTheme="minorEastAsia"/>
          <w:i/>
        </w:rPr>
        <w:t>y</w:t>
      </w:r>
      <w:r w:rsidRPr="005C455A">
        <w:rPr>
          <w:rFonts w:eastAsiaTheme="minorEastAsia"/>
        </w:rPr>
        <w:t xml:space="preserve"> and </w:t>
      </w:r>
      <m:oMath>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ϵ</m:t>
                </m:r>
              </m:e>
              <m:sub>
                <m:r>
                  <w:rPr>
                    <w:rFonts w:ascii="Cambria Math" w:hAnsi="Cambria Math"/>
                  </w:rPr>
                  <m:t>y</m:t>
                </m:r>
              </m:sub>
            </m:sSub>
          </m:sup>
        </m:sSup>
      </m:oMath>
      <w:r w:rsidRPr="005C455A">
        <w:rPr>
          <w:rFonts w:eastAsiaTheme="minorEastAsia"/>
        </w:rPr>
        <w:t xml:space="preserve"> is an error term.</w:t>
      </w:r>
    </w:p>
    <w:p w14:paraId="7BC3256B" w14:textId="25795048" w:rsidR="005C455A" w:rsidRDefault="005C455A" w:rsidP="005C455A">
      <w:pPr>
        <w:jc w:val="both"/>
      </w:pPr>
      <w:r>
        <w:t xml:space="preserve">Let </w:t>
      </w:r>
      <w:proofErr w:type="spellStart"/>
      <w:r w:rsidRPr="005C455A">
        <w:rPr>
          <w:i/>
        </w:rPr>
        <w:t>q</w:t>
      </w:r>
      <w:r w:rsidRPr="005C455A">
        <w:rPr>
          <w:i/>
        </w:rPr>
        <w:softHyphen/>
      </w:r>
      <w:r w:rsidRPr="005C455A">
        <w:rPr>
          <w:i/>
          <w:vertAlign w:val="subscript"/>
        </w:rPr>
        <w:t>R</w:t>
      </w:r>
      <w:proofErr w:type="spellEnd"/>
      <w:r w:rsidRPr="005C455A">
        <w:rPr>
          <w:vertAlign w:val="subscript"/>
        </w:rPr>
        <w:t xml:space="preserve"> </w:t>
      </w:r>
      <w:r>
        <w:t xml:space="preserve">be the catchability coefficient of the research vessel (i.e. the </w:t>
      </w:r>
      <w:r w:rsidRPr="005C455A">
        <w:rPr>
          <w:i/>
        </w:rPr>
        <w:t>Africana</w:t>
      </w:r>
      <w:r>
        <w:t xml:space="preserve">) and let </w:t>
      </w:r>
      <w:proofErr w:type="spellStart"/>
      <w:r w:rsidRPr="005C455A">
        <w:rPr>
          <w:i/>
        </w:rPr>
        <w:t>q</w:t>
      </w:r>
      <w:r w:rsidRPr="005C455A">
        <w:rPr>
          <w:i/>
          <w:vertAlign w:val="subscript"/>
        </w:rPr>
        <w:t>I</w:t>
      </w:r>
      <w:proofErr w:type="spellEnd"/>
      <w:r w:rsidRPr="005C455A">
        <w:rPr>
          <w:vertAlign w:val="subscript"/>
        </w:rPr>
        <w:t xml:space="preserve"> </w:t>
      </w:r>
      <w:r>
        <w:t xml:space="preserve">be the catchability coefficient of the industry vessel. Let </w:t>
      </w:r>
      <w:r w:rsidRPr="005C455A">
        <w:rPr>
          <w:i/>
        </w:rPr>
        <w:t>R</w:t>
      </w:r>
      <w:r>
        <w:t xml:space="preserve"> be the ratio of the catchability coefficient of the industry to that of the research vessel, i.e. </w:t>
      </w:r>
      <w:r w:rsidRPr="005C455A">
        <w:rPr>
          <w:i/>
        </w:rPr>
        <w:lastRenderedPageBreak/>
        <w:t>R=</w:t>
      </w:r>
      <w:proofErr w:type="spellStart"/>
      <w:r w:rsidRPr="005C455A">
        <w:rPr>
          <w:i/>
        </w:rPr>
        <w:t>q</w:t>
      </w:r>
      <w:r w:rsidRPr="005C455A">
        <w:rPr>
          <w:i/>
        </w:rPr>
        <w:softHyphen/>
      </w:r>
      <w:r w:rsidRPr="005C455A">
        <w:rPr>
          <w:i/>
          <w:vertAlign w:val="subscript"/>
        </w:rPr>
        <w:t>I</w:t>
      </w:r>
      <w:proofErr w:type="spellEnd"/>
      <w:r w:rsidRPr="005C455A">
        <w:rPr>
          <w:i/>
          <w:vertAlign w:val="subscript"/>
        </w:rPr>
        <w:t xml:space="preserve"> </w:t>
      </w:r>
      <w:r w:rsidRPr="005C455A">
        <w:rPr>
          <w:i/>
        </w:rPr>
        <w:t>/</w:t>
      </w:r>
      <w:proofErr w:type="spellStart"/>
      <w:r w:rsidRPr="005C455A">
        <w:rPr>
          <w:i/>
        </w:rPr>
        <w:t>q</w:t>
      </w:r>
      <w:r w:rsidRPr="005C455A">
        <w:rPr>
          <w:i/>
        </w:rPr>
        <w:softHyphen/>
      </w:r>
      <w:r w:rsidRPr="005C455A">
        <w:rPr>
          <w:i/>
          <w:vertAlign w:val="subscript"/>
        </w:rPr>
        <w:t>R</w:t>
      </w:r>
      <w:r>
        <w:t>.</w:t>
      </w:r>
      <w:proofErr w:type="spellEnd"/>
      <w:r w:rsidRPr="00555E87">
        <w:t xml:space="preserve"> </w:t>
      </w:r>
      <w:r w:rsidR="00034CE9" w:rsidRPr="0028067C">
        <w:t>MARAM/IWS/2018/Hake/BG5</w:t>
      </w:r>
      <w:r>
        <w:t xml:space="preserve"> reports that this ratio </w:t>
      </w:r>
      <w:r w:rsidRPr="005C455A">
        <w:rPr>
          <w:i/>
        </w:rPr>
        <w:t>R</w:t>
      </w:r>
      <w:r>
        <w:t xml:space="preserve"> is distributed with a median of 0.80 and standard error of 0.18</w:t>
      </w:r>
      <w:r w:rsidR="00BD010D">
        <w:t xml:space="preserve"> (the computations to come assume this distribution to be log-normal)</w:t>
      </w:r>
      <w:r>
        <w:t xml:space="preserve">. </w:t>
      </w:r>
      <w:r w:rsidR="00821AAB">
        <w:rPr>
          <w:rStyle w:val="FootnoteReference"/>
        </w:rPr>
        <w:footnoteReference w:id="3"/>
      </w:r>
    </w:p>
    <w:p w14:paraId="087F7D60" w14:textId="3A099F3E" w:rsidR="005C455A" w:rsidRPr="00F21F4B" w:rsidRDefault="005C455A" w:rsidP="005C455A">
      <w:pPr>
        <w:jc w:val="both"/>
      </w:pPr>
      <w:r>
        <w:t xml:space="preserve">When generating future survey indices under the assumption that an industry vessel will conduct the surveys, a further error term </w:t>
      </w:r>
      <m:oMath>
        <m:sSup>
          <m:sSupPr>
            <m:ctrlPr>
              <w:rPr>
                <w:rFonts w:ascii="Cambria Math" w:hAnsi="Cambria Math"/>
                <w:i/>
              </w:rPr>
            </m:ctrlPr>
          </m:sSupPr>
          <m:e>
            <m:r>
              <w:rPr>
                <w:rFonts w:ascii="Cambria Math" w:hAnsi="Cambria Math"/>
              </w:rPr>
              <m:t xml:space="preserve"> e</m:t>
            </m:r>
          </m:e>
          <m:sup>
            <m:sSub>
              <m:sSubPr>
                <m:ctrlPr>
                  <w:rPr>
                    <w:rFonts w:ascii="Cambria Math" w:hAnsi="Cambria Math"/>
                    <w:i/>
                  </w:rPr>
                </m:ctrlPr>
              </m:sSubPr>
              <m:e>
                <m:r>
                  <w:rPr>
                    <w:rFonts w:ascii="Cambria Math" w:hAnsi="Cambria Math"/>
                  </w:rPr>
                  <m:t>η</m:t>
                </m:r>
              </m:e>
              <m:sub>
                <m:r>
                  <w:rPr>
                    <w:rFonts w:ascii="Cambria Math" w:hAnsi="Cambria Math"/>
                  </w:rPr>
                  <m:t>y</m:t>
                </m:r>
              </m:sub>
            </m:sSub>
          </m:sup>
        </m:sSup>
      </m:oMath>
      <w:r>
        <w:t xml:space="preserve"> is added to equation (1) with </w:t>
      </w:r>
      <m:oMath>
        <m:sSub>
          <m:sSubPr>
            <m:ctrlPr>
              <w:rPr>
                <w:rFonts w:ascii="Cambria Math" w:hAnsi="Cambria Math"/>
                <w:i/>
              </w:rPr>
            </m:ctrlPr>
          </m:sSubPr>
          <m:e>
            <m:r>
              <w:rPr>
                <w:rFonts w:ascii="Cambria Math" w:hAnsi="Cambria Math"/>
              </w:rPr>
              <m:t>η</m:t>
            </m:r>
          </m:e>
          <m:sub>
            <m:r>
              <w:rPr>
                <w:rFonts w:ascii="Cambria Math" w:hAnsi="Cambria Math"/>
              </w:rPr>
              <m:t>y</m:t>
            </m:r>
          </m:sub>
        </m:sSub>
        <m:r>
          <w:rPr>
            <w:rFonts w:ascii="Cambria Math" w:hAnsi="Cambria Math"/>
          </w:rPr>
          <m:t>~N(</m:t>
        </m:r>
        <m:sSup>
          <m:sSupPr>
            <m:ctrlPr>
              <w:rPr>
                <w:rFonts w:ascii="Cambria Math" w:hAnsi="Cambria Math"/>
                <w:i/>
              </w:rPr>
            </m:ctrlPr>
          </m:sSupPr>
          <m:e>
            <m:r>
              <w:rPr>
                <w:rFonts w:ascii="Cambria Math" w:hAnsi="Cambria Math"/>
              </w:rPr>
              <m:t>ln0.80,0.22</m:t>
            </m:r>
          </m:e>
          <m:sup>
            <m:r>
              <w:rPr>
                <w:rFonts w:ascii="Cambria Math" w:hAnsi="Cambria Math"/>
              </w:rPr>
              <m:t>2</m:t>
            </m:r>
          </m:sup>
        </m:sSup>
        <m:r>
          <w:rPr>
            <w:rFonts w:ascii="Cambria Math" w:hAnsi="Cambria Math"/>
          </w:rPr>
          <m:t>)</m:t>
        </m:r>
      </m:oMath>
      <w:r w:rsidRPr="005C455A">
        <w:rPr>
          <w:rFonts w:eastAsiaTheme="minorEastAsia"/>
        </w:rPr>
        <w:t xml:space="preserve"> so that </w:t>
      </w:r>
      <m:oMath>
        <m:sSup>
          <m:sSupPr>
            <m:ctrlPr>
              <w:rPr>
                <w:rFonts w:ascii="Cambria Math" w:hAnsi="Cambria Math"/>
                <w:i/>
              </w:rPr>
            </m:ctrlPr>
          </m:sSupPr>
          <m:e>
            <m:r>
              <w:rPr>
                <w:rFonts w:ascii="Cambria Math" w:hAnsi="Cambria Math"/>
              </w:rPr>
              <m:t xml:space="preserve"> e</m:t>
            </m:r>
          </m:e>
          <m:sup>
            <m:sSub>
              <m:sSubPr>
                <m:ctrlPr>
                  <w:rPr>
                    <w:rFonts w:ascii="Cambria Math" w:hAnsi="Cambria Math"/>
                    <w:i/>
                  </w:rPr>
                </m:ctrlPr>
              </m:sSubPr>
              <m:e>
                <m:r>
                  <w:rPr>
                    <w:rFonts w:ascii="Cambria Math" w:hAnsi="Cambria Math"/>
                  </w:rPr>
                  <m:t>η</m:t>
                </m:r>
              </m:e>
              <m:sub>
                <m:r>
                  <w:rPr>
                    <w:rFonts w:ascii="Cambria Math" w:hAnsi="Cambria Math"/>
                  </w:rPr>
                  <m:t>y</m:t>
                </m:r>
              </m:sub>
            </m:sSub>
          </m:sup>
        </m:sSup>
      </m:oMath>
      <w:r w:rsidRPr="005C455A">
        <w:rPr>
          <w:rFonts w:eastAsiaTheme="minorEastAsia"/>
        </w:rPr>
        <w:t xml:space="preserve"> is log-normally distributed with median </w:t>
      </w:r>
      <w:r w:rsidR="008A11FB">
        <w:rPr>
          <w:rFonts w:eastAsiaTheme="minorEastAsia"/>
        </w:rPr>
        <w:t xml:space="preserve">of </w:t>
      </w:r>
      <w:r w:rsidRPr="005C455A">
        <w:rPr>
          <w:rFonts w:eastAsiaTheme="minorEastAsia"/>
        </w:rPr>
        <w:t>0.80 and standard error of 0.18</w:t>
      </w:r>
      <w:r w:rsidRPr="005C455A">
        <w:rPr>
          <w:rFonts w:eastAsiaTheme="minorEastAsia"/>
          <w:vertAlign w:val="superscript"/>
        </w:rPr>
        <w:softHyphen/>
      </w:r>
      <w:r w:rsidRPr="005C455A">
        <w:rPr>
          <w:rFonts w:eastAsiaTheme="minorEastAsia"/>
        </w:rPr>
        <w:t>.</w:t>
      </w:r>
      <w:r>
        <w:rPr>
          <w:rStyle w:val="FootnoteReference"/>
          <w:rFonts w:eastAsiaTheme="minorEastAsia"/>
        </w:rPr>
        <w:footnoteReference w:id="4"/>
      </w:r>
      <w:r w:rsidRPr="005C455A">
        <w:rPr>
          <w:rFonts w:eastAsiaTheme="minorEastAsia"/>
        </w:rPr>
        <w:t xml:space="preserve"> The whole equation is further scaled by a factor of </w:t>
      </w:r>
      <m:oMath>
        <m:r>
          <w:rPr>
            <w:rFonts w:ascii="Cambria Math" w:hAnsi="Cambria Math"/>
          </w:rPr>
          <m:t>1/0.80</m:t>
        </m:r>
      </m:oMath>
      <w:r w:rsidRPr="005C455A">
        <w:rPr>
          <w:rFonts w:eastAsiaTheme="minorEastAsia"/>
        </w:rPr>
        <w:t xml:space="preserve"> to account for the likely lower catchability of the industry vessels (this factor is included because this bias </w:t>
      </w:r>
      <w:r w:rsidR="008A11FB">
        <w:rPr>
          <w:rFonts w:eastAsiaTheme="minorEastAsia"/>
        </w:rPr>
        <w:t>would be</w:t>
      </w:r>
      <w:r w:rsidRPr="005C455A">
        <w:rPr>
          <w:rFonts w:eastAsiaTheme="minorEastAsia"/>
        </w:rPr>
        <w:t xml:space="preserve"> known, so that in application the result from a future survey would be divided by this factor). Equation 1 consequently becomes: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
        <w:gridCol w:w="8033"/>
        <w:gridCol w:w="911"/>
      </w:tblGrid>
      <w:tr w:rsidR="005C455A" w14:paraId="1555F1A7" w14:textId="77777777" w:rsidTr="00AB1ACA">
        <w:tc>
          <w:tcPr>
            <w:tcW w:w="709" w:type="dxa"/>
          </w:tcPr>
          <w:p w14:paraId="1DF976F6" w14:textId="77777777" w:rsidR="005C455A" w:rsidRDefault="005C455A" w:rsidP="00AB1ACA">
            <w:pPr>
              <w:jc w:val="both"/>
            </w:pPr>
          </w:p>
        </w:tc>
        <w:tc>
          <w:tcPr>
            <w:tcW w:w="8222" w:type="dxa"/>
          </w:tcPr>
          <w:p w14:paraId="06557FDB" w14:textId="77777777" w:rsidR="005C455A" w:rsidRDefault="004719FD" w:rsidP="00AB1ACA">
            <w:pPr>
              <w:jc w:val="both"/>
            </w:pPr>
            <m:oMathPara>
              <m:oMath>
                <m:sSubSup>
                  <m:sSubSupPr>
                    <m:ctrlPr>
                      <w:rPr>
                        <w:rFonts w:ascii="Cambria Math" w:hAnsi="Cambria Math"/>
                        <w:i/>
                      </w:rPr>
                    </m:ctrlPr>
                  </m:sSubSupPr>
                  <m:e>
                    <m:r>
                      <w:rPr>
                        <w:rFonts w:ascii="Cambria Math" w:hAnsi="Cambria Math"/>
                      </w:rPr>
                      <m:t>I</m:t>
                    </m:r>
                  </m:e>
                  <m:sub>
                    <m:r>
                      <w:rPr>
                        <w:rFonts w:ascii="Cambria Math" w:hAnsi="Cambria Math"/>
                      </w:rPr>
                      <m:t>y</m:t>
                    </m:r>
                  </m:sub>
                  <m:sup>
                    <m:r>
                      <w:rPr>
                        <w:rFonts w:ascii="Cambria Math" w:hAnsi="Cambria Math"/>
                      </w:rPr>
                      <m:t>surv</m:t>
                    </m:r>
                  </m:sup>
                </m:sSubSup>
                <m:r>
                  <w:rPr>
                    <w:rFonts w:ascii="Cambria Math" w:hAnsi="Cambria Math"/>
                  </w:rPr>
                  <m:t>=</m:t>
                </m:r>
                <m:sSubSup>
                  <m:sSubSupPr>
                    <m:ctrlPr>
                      <w:rPr>
                        <w:rFonts w:ascii="Cambria Math" w:hAnsi="Cambria Math"/>
                        <w:i/>
                      </w:rPr>
                    </m:ctrlPr>
                  </m:sSubSupPr>
                  <m:e>
                    <m:sSup>
                      <m:sSupPr>
                        <m:ctrlPr>
                          <w:rPr>
                            <w:rFonts w:ascii="Cambria Math" w:hAnsi="Cambria Math"/>
                            <w:i/>
                          </w:rPr>
                        </m:ctrlPr>
                      </m:sSupPr>
                      <m:e>
                        <m:r>
                          <w:rPr>
                            <w:rFonts w:ascii="Cambria Math" w:hAnsi="Cambria Math"/>
                          </w:rPr>
                          <m:t>q</m:t>
                        </m:r>
                      </m:e>
                      <m:sup>
                        <m:r>
                          <w:rPr>
                            <w:rFonts w:ascii="Cambria Math" w:hAnsi="Cambria Math"/>
                          </w:rPr>
                          <m:t>surv</m:t>
                        </m:r>
                      </m:sup>
                    </m:sSup>
                    <m:r>
                      <w:rPr>
                        <w:rFonts w:ascii="Cambria Math" w:hAnsi="Cambria Math"/>
                      </w:rPr>
                      <m:t>B</m:t>
                    </m:r>
                  </m:e>
                  <m:sub>
                    <m:r>
                      <w:rPr>
                        <w:rFonts w:ascii="Cambria Math" w:hAnsi="Cambria Math"/>
                      </w:rPr>
                      <m:t>y</m:t>
                    </m:r>
                  </m:sub>
                  <m:sup>
                    <m:r>
                      <w:rPr>
                        <w:rFonts w:ascii="Cambria Math" w:hAnsi="Cambria Math"/>
                      </w:rPr>
                      <m:t>surv</m:t>
                    </m:r>
                  </m:sup>
                </m:sSubSup>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ϵ</m:t>
                        </m:r>
                      </m:e>
                      <m:sub>
                        <m:r>
                          <w:rPr>
                            <w:rFonts w:ascii="Cambria Math" w:hAnsi="Cambria Math"/>
                          </w:rPr>
                          <m:t>y</m:t>
                        </m:r>
                      </m:sub>
                    </m:sSub>
                  </m:sup>
                </m:sSup>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η</m:t>
                        </m:r>
                      </m:e>
                      <m:sub>
                        <m:r>
                          <w:rPr>
                            <w:rFonts w:ascii="Cambria Math" w:hAnsi="Cambria Math"/>
                          </w:rPr>
                          <m:t>y</m:t>
                        </m:r>
                      </m:sub>
                    </m:sSub>
                  </m:sup>
                </m:sSup>
                <m:r>
                  <w:rPr>
                    <w:rFonts w:ascii="Cambria Math" w:hAnsi="Cambria Math"/>
                  </w:rPr>
                  <m:t>/0.80</m:t>
                </m:r>
              </m:oMath>
            </m:oMathPara>
          </w:p>
        </w:tc>
        <w:tc>
          <w:tcPr>
            <w:tcW w:w="923" w:type="dxa"/>
          </w:tcPr>
          <w:p w14:paraId="1916A8C9" w14:textId="03D718E8" w:rsidR="005C455A" w:rsidRDefault="005C455A" w:rsidP="00AB1ACA">
            <w:pPr>
              <w:jc w:val="center"/>
            </w:pPr>
            <w:r>
              <w:t>(2)</w:t>
            </w:r>
            <w:r w:rsidR="00452A5A">
              <w:rPr>
                <w:rStyle w:val="FootnoteReference"/>
              </w:rPr>
              <w:footnoteReference w:id="5"/>
            </w:r>
          </w:p>
        </w:tc>
      </w:tr>
    </w:tbl>
    <w:p w14:paraId="50E79BB7" w14:textId="77777777" w:rsidR="005C455A" w:rsidRDefault="005C455A" w:rsidP="005C455A">
      <w:pPr>
        <w:jc w:val="both"/>
      </w:pPr>
    </w:p>
    <w:p w14:paraId="5C2A86A2" w14:textId="272EE9B5" w:rsidR="004F2E8A" w:rsidRDefault="00770C8F" w:rsidP="00616421">
      <w:pPr>
        <w:pStyle w:val="Style1"/>
        <w:keepNext/>
        <w:keepLines/>
      </w:pPr>
      <w:r>
        <w:t xml:space="preserve">RT3: </w:t>
      </w:r>
      <w:r w:rsidR="004F2E8A" w:rsidRPr="005C455A">
        <w:t>Two surveys (WC and SC) take place every second year</w:t>
      </w:r>
      <w:r w:rsidR="005C455A">
        <w:t xml:space="preserve"> (</w:t>
      </w:r>
      <w:r w:rsidR="005C455A" w:rsidRPr="00616421">
        <w:rPr>
          <w:b/>
        </w:rPr>
        <w:t>ES</w:t>
      </w:r>
      <w:r w:rsidR="005C455A">
        <w:t>)</w:t>
      </w:r>
    </w:p>
    <w:p w14:paraId="43C9DE11" w14:textId="77777777" w:rsidR="005C455A" w:rsidRPr="00D44C19" w:rsidRDefault="005C455A" w:rsidP="00616421">
      <w:pPr>
        <w:keepNext/>
        <w:keepLines/>
      </w:pPr>
      <w:r>
        <w:t>As for no future surveys, the survey indices are removed from the TAC calculation in years for which no survey is to take place.</w:t>
      </w:r>
    </w:p>
    <w:p w14:paraId="11004268" w14:textId="6516E616" w:rsidR="00A2158B" w:rsidRDefault="00770C8F" w:rsidP="00616421">
      <w:pPr>
        <w:pStyle w:val="Style1"/>
      </w:pPr>
      <w:r>
        <w:t xml:space="preserve">RT4: </w:t>
      </w:r>
      <w:r w:rsidR="00A2158B" w:rsidRPr="005C455A">
        <w:t>RC assumptions (i.e. all future surveys continue as normal with the research vessel) but with an undetected increase in CPUE catchability of 2% p.a</w:t>
      </w:r>
      <w:r w:rsidR="008A11FB">
        <w:t>.</w:t>
      </w:r>
      <w:r w:rsidR="00321381">
        <w:t xml:space="preserve"> (</w:t>
      </w:r>
      <w:r w:rsidR="00321381" w:rsidRPr="00616421">
        <w:rPr>
          <w:b/>
        </w:rPr>
        <w:t>RC+UCI</w:t>
      </w:r>
      <w:r w:rsidR="00321381">
        <w:t>)</w:t>
      </w:r>
      <w:r w:rsidR="00A2158B" w:rsidRPr="005C455A">
        <w:t>.</w:t>
      </w:r>
    </w:p>
    <w:p w14:paraId="67076AA9" w14:textId="1E2ED322" w:rsidR="005C455A" w:rsidRDefault="005C455A" w:rsidP="005C455A">
      <w:pPr>
        <w:spacing w:before="120"/>
        <w:jc w:val="both"/>
      </w:pPr>
      <w:r>
        <w:t xml:space="preserve">For an undetected increase in commercial catchability, a steady increase of 2% p.a. in the CPUE </w:t>
      </w:r>
      <w:r w:rsidRPr="005C455A">
        <w:rPr>
          <w:i/>
        </w:rPr>
        <w:t>q</w:t>
      </w:r>
      <w:r>
        <w:t xml:space="preserve"> value was assumed, as this </w:t>
      </w:r>
      <w:r w:rsidR="008A11FB">
        <w:t>was</w:t>
      </w:r>
      <w:r>
        <w:t xml:space="preserve"> considered a likely extreme case scenario.</w:t>
      </w:r>
    </w:p>
    <w:p w14:paraId="4E9E6E41" w14:textId="5F6ACB92" w:rsidR="00A2158B" w:rsidRDefault="00770C8F" w:rsidP="00616421">
      <w:pPr>
        <w:pStyle w:val="Style1"/>
      </w:pPr>
      <w:r>
        <w:t xml:space="preserve">RT5: </w:t>
      </w:r>
      <w:r w:rsidR="00A2158B" w:rsidRPr="005C455A">
        <w:t>No future surveys with an undetected increase in catchability</w:t>
      </w:r>
      <w:r w:rsidR="00321381">
        <w:t xml:space="preserve"> (</w:t>
      </w:r>
      <w:r w:rsidR="00321381" w:rsidRPr="00616421">
        <w:rPr>
          <w:b/>
        </w:rPr>
        <w:t>NS+UCI</w:t>
      </w:r>
      <w:r w:rsidR="00321381">
        <w:t>)</w:t>
      </w:r>
      <w:r w:rsidR="00A2158B" w:rsidRPr="005C455A">
        <w:t>.</w:t>
      </w:r>
    </w:p>
    <w:p w14:paraId="754329A1" w14:textId="544853BB" w:rsidR="005C455A" w:rsidRPr="005C455A" w:rsidRDefault="005C455A" w:rsidP="005C455A">
      <w:pPr>
        <w:jc w:val="both"/>
      </w:pPr>
      <w:r>
        <w:t xml:space="preserve">Robustness test (1) is combined with an undetected increase in commercial catchability, as for Robustness test </w:t>
      </w:r>
      <w:r w:rsidR="00BF5F00">
        <w:t>RT</w:t>
      </w:r>
      <w:r>
        <w:t>4.</w:t>
      </w:r>
    </w:p>
    <w:p w14:paraId="3F654E86" w14:textId="44BC3AB6" w:rsidR="004F2E8A" w:rsidRPr="006C7A11" w:rsidRDefault="001C3A2F" w:rsidP="004F2E8A">
      <w:pPr>
        <w:jc w:val="both"/>
      </w:pPr>
      <w:r w:rsidRPr="006C7A11">
        <w:t xml:space="preserve">The remaining five robustness tests </w:t>
      </w:r>
      <w:r w:rsidR="00321381">
        <w:t xml:space="preserve">conducted prior to the recommendation of OMP-2018 </w:t>
      </w:r>
      <w:r w:rsidRPr="006C7A11">
        <w:t xml:space="preserve">are </w:t>
      </w:r>
      <w:r w:rsidR="00BF5F00">
        <w:t xml:space="preserve">described </w:t>
      </w:r>
      <w:r w:rsidRPr="006C7A11">
        <w:t>below.</w:t>
      </w:r>
    </w:p>
    <w:p w14:paraId="49B526C5" w14:textId="4EB2C54D" w:rsidR="006C7A11" w:rsidRDefault="00770C8F" w:rsidP="00616421">
      <w:pPr>
        <w:pStyle w:val="Style1"/>
      </w:pPr>
      <w:r>
        <w:t xml:space="preserve">RT6: </w:t>
      </w:r>
      <w:r w:rsidR="00850AE7" w:rsidRPr="006C7A11">
        <w:t xml:space="preserve">The original </w:t>
      </w:r>
      <w:r w:rsidR="00850AE7" w:rsidRPr="00616421">
        <w:t>natural</w:t>
      </w:r>
      <w:r w:rsidR="00850AE7" w:rsidRPr="006C7A11">
        <w:t xml:space="preserve"> mortality-at-age vectors</w:t>
      </w:r>
      <w:r w:rsidR="00FB6983" w:rsidRPr="006C7A11">
        <w:t xml:space="preserve"> (</w:t>
      </w:r>
      <w:r w:rsidR="00FB6983" w:rsidRPr="00616421">
        <w:rPr>
          <w:b/>
        </w:rPr>
        <w:t>OM</w:t>
      </w:r>
      <w:r w:rsidR="00FB6983" w:rsidRPr="006C7A11">
        <w:t>)</w:t>
      </w:r>
    </w:p>
    <w:p w14:paraId="31C33486" w14:textId="22689E25" w:rsidR="001C3A2F" w:rsidRDefault="00B42F19" w:rsidP="00290FC3">
      <w:pPr>
        <w:spacing w:before="120" w:after="80"/>
        <w:jc w:val="both"/>
      </w:pPr>
      <w:r>
        <w:t>The RC OM is reconditioned using the</w:t>
      </w:r>
      <w:r w:rsidR="00290FC3">
        <w:t xml:space="preserve"> mortality-at-age vectors </w:t>
      </w:r>
      <w:r w:rsidR="00850AE7" w:rsidRPr="006C7A11">
        <w:t>from the Rademeyer 2017 model</w:t>
      </w:r>
      <w:r w:rsidR="001C3A2F" w:rsidRPr="006C7A11">
        <w:t xml:space="preserve"> for the two hake species instead of the ones estimated by the predation model. These mortality-at-age vectors are fixed at 0.75</w:t>
      </w:r>
      <w:r w:rsidR="001C3A2F">
        <w:t xml:space="preserve"> for lower ages and 0.375 for higher ages.</w:t>
      </w:r>
    </w:p>
    <w:p w14:paraId="2E7B853B" w14:textId="3CACD904" w:rsidR="001C3A2F" w:rsidRDefault="00770C8F" w:rsidP="00616421">
      <w:pPr>
        <w:pStyle w:val="Style1"/>
      </w:pPr>
      <w:r>
        <w:t xml:space="preserve">RT7: </w:t>
      </w:r>
      <w:r w:rsidR="001C3A2F" w:rsidRPr="006C7A11">
        <w:t xml:space="preserve">Use of the </w:t>
      </w:r>
      <w:r w:rsidR="001C3A2F" w:rsidRPr="00616421">
        <w:t>original</w:t>
      </w:r>
      <w:r w:rsidR="001C3A2F" w:rsidRPr="006C7A11">
        <w:t xml:space="preserve"> algorithm 2013 species splitting results for the CPUE and catch data</w:t>
      </w:r>
      <w:r w:rsidR="00C3680C" w:rsidRPr="006C7A11">
        <w:t xml:space="preserve"> (</w:t>
      </w:r>
      <w:r w:rsidR="006C7A11" w:rsidRPr="00616421">
        <w:rPr>
          <w:b/>
        </w:rPr>
        <w:t>A13</w:t>
      </w:r>
      <w:r w:rsidR="00C3680C" w:rsidRPr="006C7A11">
        <w:t>)</w:t>
      </w:r>
      <w:r w:rsidR="001C3A2F" w:rsidRPr="006C7A11">
        <w:t>.</w:t>
      </w:r>
    </w:p>
    <w:p w14:paraId="00A7C6EA" w14:textId="2502D1AC" w:rsidR="000E241C" w:rsidRDefault="00B42F19" w:rsidP="000E241C">
      <w:pPr>
        <w:spacing w:before="120" w:after="80"/>
        <w:jc w:val="both"/>
      </w:pPr>
      <w:r>
        <w:t>The RC OM is reconditioned using the data from the original Algorithm 2013 species splitting algorithm, which is the same species splitting algorithm used to generate the CPUE and catch data for the 2017 assessment model</w:t>
      </w:r>
      <w:r w:rsidR="00E8252C">
        <w:t>.</w:t>
      </w:r>
      <w:r w:rsidR="00AB1ACA">
        <w:t xml:space="preserve"> </w:t>
      </w:r>
      <w:r w:rsidR="0041521C" w:rsidRPr="0068297E">
        <w:t>MARAM/IWS/2018/Hake/</w:t>
      </w:r>
      <w:r w:rsidR="0041521C">
        <w:t>BG6</w:t>
      </w:r>
      <w:r w:rsidR="000E241C" w:rsidRPr="00770C8F">
        <w:t xml:space="preserve"> </w:t>
      </w:r>
      <w:r w:rsidR="00E8252C">
        <w:t>provides</w:t>
      </w:r>
      <w:r w:rsidR="000E241C" w:rsidRPr="00770C8F">
        <w:t xml:space="preserve"> more details on the species splitting algorithms</w:t>
      </w:r>
      <w:r w:rsidR="00E8252C">
        <w:t>,</w:t>
      </w:r>
      <w:r w:rsidR="008A11FB">
        <w:t xml:space="preserve"> with</w:t>
      </w:r>
      <w:r w:rsidR="00E8252C">
        <w:t xml:space="preserve"> the table below summaris</w:t>
      </w:r>
      <w:r w:rsidR="008A11FB">
        <w:t>ing</w:t>
      </w:r>
      <w:r w:rsidR="00E8252C">
        <w:t xml:space="preserve"> the key differences and similarities between the three models that have been considered</w:t>
      </w:r>
      <w:r w:rsidR="00320923">
        <w:t xml:space="preserve"> for</w:t>
      </w:r>
      <w:r w:rsidR="00E8252C">
        <w:t xml:space="preserve"> the RC and robustness tests.</w:t>
      </w:r>
    </w:p>
    <w:tbl>
      <w:tblPr>
        <w:tblW w:w="9760" w:type="dxa"/>
        <w:tblLook w:val="04A0" w:firstRow="1" w:lastRow="0" w:firstColumn="1" w:lastColumn="0" w:noHBand="0" w:noVBand="1"/>
      </w:tblPr>
      <w:tblGrid>
        <w:gridCol w:w="3480"/>
        <w:gridCol w:w="3120"/>
        <w:gridCol w:w="3160"/>
      </w:tblGrid>
      <w:tr w:rsidR="000636AE" w:rsidRPr="000636AE" w14:paraId="365B6165" w14:textId="77777777" w:rsidTr="000636AE">
        <w:trPr>
          <w:trHeight w:val="300"/>
        </w:trPr>
        <w:tc>
          <w:tcPr>
            <w:tcW w:w="3480" w:type="dxa"/>
            <w:tcBorders>
              <w:top w:val="single" w:sz="4" w:space="0" w:color="auto"/>
              <w:left w:val="single" w:sz="4" w:space="0" w:color="auto"/>
              <w:bottom w:val="single" w:sz="4" w:space="0" w:color="auto"/>
              <w:right w:val="single" w:sz="4" w:space="0" w:color="auto"/>
            </w:tcBorders>
            <w:shd w:val="clear" w:color="auto" w:fill="auto"/>
            <w:hideMark/>
          </w:tcPr>
          <w:p w14:paraId="2D900BEE" w14:textId="1BDFCDA6" w:rsidR="000636AE" w:rsidRPr="000636AE" w:rsidRDefault="000636AE" w:rsidP="000636AE">
            <w:pPr>
              <w:spacing w:after="0" w:line="240" w:lineRule="auto"/>
              <w:rPr>
                <w:rFonts w:ascii="Calibri" w:eastAsia="Times New Roman" w:hAnsi="Calibri" w:cs="Calibri"/>
                <w:b/>
                <w:bCs/>
                <w:color w:val="000000"/>
                <w:szCs w:val="20"/>
                <w:lang w:eastAsia="en-ZA"/>
              </w:rPr>
            </w:pPr>
            <w:r w:rsidRPr="000636AE">
              <w:rPr>
                <w:rFonts w:ascii="Calibri" w:eastAsia="Times New Roman" w:hAnsi="Calibri" w:cs="Calibri"/>
                <w:b/>
                <w:bCs/>
                <w:color w:val="000000"/>
                <w:szCs w:val="20"/>
                <w:lang w:eastAsia="en-ZA"/>
              </w:rPr>
              <w:t>Alg13</w:t>
            </w:r>
            <w:r w:rsidR="00E8252C">
              <w:rPr>
                <w:rFonts w:ascii="Calibri" w:eastAsia="Times New Roman" w:hAnsi="Calibri" w:cs="Calibri"/>
                <w:b/>
                <w:bCs/>
                <w:color w:val="000000"/>
                <w:szCs w:val="20"/>
                <w:lang w:eastAsia="en-ZA"/>
              </w:rPr>
              <w:t xml:space="preserve"> (robustness)</w:t>
            </w:r>
          </w:p>
        </w:tc>
        <w:tc>
          <w:tcPr>
            <w:tcW w:w="3120" w:type="dxa"/>
            <w:tcBorders>
              <w:top w:val="single" w:sz="4" w:space="0" w:color="auto"/>
              <w:left w:val="nil"/>
              <w:bottom w:val="single" w:sz="4" w:space="0" w:color="auto"/>
              <w:right w:val="single" w:sz="4" w:space="0" w:color="auto"/>
            </w:tcBorders>
            <w:shd w:val="clear" w:color="auto" w:fill="auto"/>
            <w:hideMark/>
          </w:tcPr>
          <w:p w14:paraId="0A268600" w14:textId="55365C49" w:rsidR="000636AE" w:rsidRPr="000636AE" w:rsidRDefault="000636AE" w:rsidP="000636AE">
            <w:pPr>
              <w:spacing w:after="0" w:line="240" w:lineRule="auto"/>
              <w:rPr>
                <w:rFonts w:ascii="Calibri" w:eastAsia="Times New Roman" w:hAnsi="Calibri" w:cs="Calibri"/>
                <w:b/>
                <w:bCs/>
                <w:color w:val="000000"/>
                <w:szCs w:val="20"/>
                <w:lang w:eastAsia="en-ZA"/>
              </w:rPr>
            </w:pPr>
            <w:r w:rsidRPr="000636AE">
              <w:rPr>
                <w:rFonts w:ascii="Calibri" w:eastAsia="Times New Roman" w:hAnsi="Calibri" w:cs="Calibri"/>
                <w:b/>
                <w:bCs/>
                <w:color w:val="000000"/>
                <w:szCs w:val="20"/>
                <w:lang w:eastAsia="en-ZA"/>
              </w:rPr>
              <w:t>Model A6</w:t>
            </w:r>
            <w:r w:rsidR="00E8252C">
              <w:rPr>
                <w:rFonts w:ascii="Calibri" w:eastAsia="Times New Roman" w:hAnsi="Calibri" w:cs="Calibri"/>
                <w:b/>
                <w:bCs/>
                <w:color w:val="000000"/>
                <w:szCs w:val="20"/>
                <w:lang w:eastAsia="en-ZA"/>
              </w:rPr>
              <w:t xml:space="preserve"> (robustness)</w:t>
            </w:r>
          </w:p>
        </w:tc>
        <w:tc>
          <w:tcPr>
            <w:tcW w:w="3160" w:type="dxa"/>
            <w:tcBorders>
              <w:top w:val="single" w:sz="4" w:space="0" w:color="auto"/>
              <w:left w:val="nil"/>
              <w:bottom w:val="single" w:sz="4" w:space="0" w:color="auto"/>
              <w:right w:val="single" w:sz="4" w:space="0" w:color="auto"/>
            </w:tcBorders>
            <w:shd w:val="clear" w:color="auto" w:fill="auto"/>
            <w:hideMark/>
          </w:tcPr>
          <w:p w14:paraId="02EF6DFE" w14:textId="7E88A854" w:rsidR="000636AE" w:rsidRPr="000636AE" w:rsidRDefault="000636AE" w:rsidP="000636AE">
            <w:pPr>
              <w:spacing w:after="0" w:line="240" w:lineRule="auto"/>
              <w:rPr>
                <w:rFonts w:ascii="Calibri" w:eastAsia="Times New Roman" w:hAnsi="Calibri" w:cs="Calibri"/>
                <w:b/>
                <w:bCs/>
                <w:color w:val="000000"/>
                <w:szCs w:val="20"/>
                <w:lang w:eastAsia="en-ZA"/>
              </w:rPr>
            </w:pPr>
            <w:r w:rsidRPr="000636AE">
              <w:rPr>
                <w:rFonts w:ascii="Calibri" w:eastAsia="Times New Roman" w:hAnsi="Calibri" w:cs="Calibri"/>
                <w:b/>
                <w:bCs/>
                <w:color w:val="000000"/>
                <w:szCs w:val="20"/>
                <w:lang w:eastAsia="en-ZA"/>
              </w:rPr>
              <w:t>Model A6b</w:t>
            </w:r>
            <w:r w:rsidR="00E8252C">
              <w:rPr>
                <w:rFonts w:ascii="Calibri" w:eastAsia="Times New Roman" w:hAnsi="Calibri" w:cs="Calibri"/>
                <w:b/>
                <w:bCs/>
                <w:color w:val="000000"/>
                <w:szCs w:val="20"/>
                <w:lang w:eastAsia="en-ZA"/>
              </w:rPr>
              <w:t xml:space="preserve"> (RC)</w:t>
            </w:r>
          </w:p>
        </w:tc>
      </w:tr>
      <w:tr w:rsidR="000636AE" w:rsidRPr="000636AE" w14:paraId="14A16CC3" w14:textId="77777777" w:rsidTr="000636AE">
        <w:trPr>
          <w:trHeight w:val="300"/>
        </w:trPr>
        <w:tc>
          <w:tcPr>
            <w:tcW w:w="3480" w:type="dxa"/>
            <w:tcBorders>
              <w:top w:val="nil"/>
              <w:left w:val="single" w:sz="4" w:space="0" w:color="auto"/>
              <w:bottom w:val="single" w:sz="4" w:space="0" w:color="auto"/>
              <w:right w:val="single" w:sz="4" w:space="0" w:color="auto"/>
            </w:tcBorders>
            <w:shd w:val="clear" w:color="auto" w:fill="auto"/>
            <w:hideMark/>
          </w:tcPr>
          <w:p w14:paraId="6AB43B67" w14:textId="7A052B89"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Research data only</w:t>
            </w:r>
          </w:p>
        </w:tc>
        <w:tc>
          <w:tcPr>
            <w:tcW w:w="3120" w:type="dxa"/>
            <w:tcBorders>
              <w:top w:val="nil"/>
              <w:left w:val="nil"/>
              <w:bottom w:val="single" w:sz="4" w:space="0" w:color="auto"/>
              <w:right w:val="single" w:sz="4" w:space="0" w:color="auto"/>
            </w:tcBorders>
            <w:shd w:val="clear" w:color="auto" w:fill="auto"/>
            <w:hideMark/>
          </w:tcPr>
          <w:p w14:paraId="1F57DBDA" w14:textId="0CFB2588"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Research + observer data</w:t>
            </w:r>
          </w:p>
        </w:tc>
        <w:tc>
          <w:tcPr>
            <w:tcW w:w="3160" w:type="dxa"/>
            <w:tcBorders>
              <w:top w:val="nil"/>
              <w:left w:val="nil"/>
              <w:bottom w:val="single" w:sz="4" w:space="0" w:color="auto"/>
              <w:right w:val="single" w:sz="4" w:space="0" w:color="auto"/>
            </w:tcBorders>
            <w:shd w:val="clear" w:color="auto" w:fill="auto"/>
            <w:hideMark/>
          </w:tcPr>
          <w:p w14:paraId="0899F039" w14:textId="085C54DF"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Research + observer data</w:t>
            </w:r>
          </w:p>
        </w:tc>
      </w:tr>
      <w:tr w:rsidR="000636AE" w:rsidRPr="000636AE" w14:paraId="32E4300F" w14:textId="77777777" w:rsidTr="000636AE">
        <w:trPr>
          <w:trHeight w:val="300"/>
        </w:trPr>
        <w:tc>
          <w:tcPr>
            <w:tcW w:w="3480" w:type="dxa"/>
            <w:tcBorders>
              <w:top w:val="nil"/>
              <w:left w:val="single" w:sz="4" w:space="0" w:color="auto"/>
              <w:bottom w:val="single" w:sz="4" w:space="0" w:color="auto"/>
              <w:right w:val="single" w:sz="4" w:space="0" w:color="auto"/>
            </w:tcBorders>
            <w:shd w:val="clear" w:color="auto" w:fill="auto"/>
            <w:hideMark/>
          </w:tcPr>
          <w:p w14:paraId="0FD63535" w14:textId="29D693A9"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 xml:space="preserve">Random </w:t>
            </w:r>
            <w:proofErr w:type="spellStart"/>
            <w:r w:rsidRPr="000636AE">
              <w:rPr>
                <w:rFonts w:ascii="Calibri" w:eastAsia="Times New Roman" w:hAnsi="Calibri" w:cs="Calibri"/>
                <w:color w:val="000000"/>
                <w:szCs w:val="20"/>
                <w:lang w:eastAsia="en-ZA"/>
              </w:rPr>
              <w:t>trawlID</w:t>
            </w:r>
            <w:proofErr w:type="spellEnd"/>
            <w:r w:rsidRPr="000636AE">
              <w:rPr>
                <w:rFonts w:ascii="Calibri" w:eastAsia="Times New Roman" w:hAnsi="Calibri" w:cs="Calibri"/>
                <w:color w:val="000000"/>
                <w:szCs w:val="20"/>
                <w:lang w:eastAsia="en-ZA"/>
              </w:rPr>
              <w:t xml:space="preserve"> effect </w:t>
            </w:r>
            <w:r w:rsidR="00931F8E">
              <w:rPr>
                <w:rFonts w:ascii="Calibri" w:eastAsia="Times New Roman" w:hAnsi="Calibri" w:cs="Calibri"/>
                <w:color w:val="000000"/>
                <w:szCs w:val="20"/>
                <w:lang w:eastAsia="en-ZA"/>
              </w:rPr>
              <w:t>ex</w:t>
            </w:r>
            <w:r w:rsidRPr="000636AE">
              <w:rPr>
                <w:rFonts w:ascii="Calibri" w:eastAsia="Times New Roman" w:hAnsi="Calibri" w:cs="Calibri"/>
                <w:color w:val="000000"/>
                <w:szCs w:val="20"/>
                <w:lang w:eastAsia="en-ZA"/>
              </w:rPr>
              <w:t>cluded</w:t>
            </w:r>
          </w:p>
        </w:tc>
        <w:tc>
          <w:tcPr>
            <w:tcW w:w="3120" w:type="dxa"/>
            <w:tcBorders>
              <w:top w:val="nil"/>
              <w:left w:val="nil"/>
              <w:bottom w:val="single" w:sz="4" w:space="0" w:color="auto"/>
              <w:right w:val="single" w:sz="4" w:space="0" w:color="auto"/>
            </w:tcBorders>
            <w:shd w:val="clear" w:color="auto" w:fill="auto"/>
            <w:hideMark/>
          </w:tcPr>
          <w:p w14:paraId="27C3E6DB" w14:textId="77777777"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 xml:space="preserve">Random </w:t>
            </w:r>
            <w:proofErr w:type="spellStart"/>
            <w:r w:rsidRPr="000636AE">
              <w:rPr>
                <w:rFonts w:ascii="Calibri" w:eastAsia="Times New Roman" w:hAnsi="Calibri" w:cs="Calibri"/>
                <w:color w:val="000000"/>
                <w:szCs w:val="20"/>
                <w:lang w:eastAsia="en-ZA"/>
              </w:rPr>
              <w:t>trawlID</w:t>
            </w:r>
            <w:proofErr w:type="spellEnd"/>
            <w:r w:rsidRPr="000636AE">
              <w:rPr>
                <w:rFonts w:ascii="Calibri" w:eastAsia="Times New Roman" w:hAnsi="Calibri" w:cs="Calibri"/>
                <w:color w:val="000000"/>
                <w:szCs w:val="20"/>
                <w:lang w:eastAsia="en-ZA"/>
              </w:rPr>
              <w:t xml:space="preserve"> effect included</w:t>
            </w:r>
          </w:p>
        </w:tc>
        <w:tc>
          <w:tcPr>
            <w:tcW w:w="3160" w:type="dxa"/>
            <w:tcBorders>
              <w:top w:val="nil"/>
              <w:left w:val="nil"/>
              <w:bottom w:val="single" w:sz="4" w:space="0" w:color="auto"/>
              <w:right w:val="single" w:sz="4" w:space="0" w:color="auto"/>
            </w:tcBorders>
            <w:shd w:val="clear" w:color="auto" w:fill="auto"/>
            <w:hideMark/>
          </w:tcPr>
          <w:p w14:paraId="217C26AB" w14:textId="77777777"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 xml:space="preserve">Random </w:t>
            </w:r>
            <w:proofErr w:type="spellStart"/>
            <w:r w:rsidRPr="000636AE">
              <w:rPr>
                <w:rFonts w:ascii="Calibri" w:eastAsia="Times New Roman" w:hAnsi="Calibri" w:cs="Calibri"/>
                <w:color w:val="000000"/>
                <w:szCs w:val="20"/>
                <w:lang w:eastAsia="en-ZA"/>
              </w:rPr>
              <w:t>trawlID</w:t>
            </w:r>
            <w:proofErr w:type="spellEnd"/>
            <w:r w:rsidRPr="000636AE">
              <w:rPr>
                <w:rFonts w:ascii="Calibri" w:eastAsia="Times New Roman" w:hAnsi="Calibri" w:cs="Calibri"/>
                <w:color w:val="000000"/>
                <w:szCs w:val="20"/>
                <w:lang w:eastAsia="en-ZA"/>
              </w:rPr>
              <w:t xml:space="preserve"> effect excluded</w:t>
            </w:r>
          </w:p>
        </w:tc>
      </w:tr>
      <w:tr w:rsidR="000636AE" w:rsidRPr="000636AE" w14:paraId="4D006991" w14:textId="77777777" w:rsidTr="000636AE">
        <w:trPr>
          <w:trHeight w:val="300"/>
        </w:trPr>
        <w:tc>
          <w:tcPr>
            <w:tcW w:w="3480" w:type="dxa"/>
            <w:tcBorders>
              <w:top w:val="nil"/>
              <w:left w:val="single" w:sz="4" w:space="0" w:color="auto"/>
              <w:bottom w:val="single" w:sz="4" w:space="0" w:color="auto"/>
              <w:right w:val="single" w:sz="4" w:space="0" w:color="auto"/>
            </w:tcBorders>
            <w:shd w:val="clear" w:color="auto" w:fill="auto"/>
            <w:hideMark/>
          </w:tcPr>
          <w:p w14:paraId="7714834A" w14:textId="77777777"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Fish numbers</w:t>
            </w:r>
          </w:p>
        </w:tc>
        <w:tc>
          <w:tcPr>
            <w:tcW w:w="3120" w:type="dxa"/>
            <w:tcBorders>
              <w:top w:val="nil"/>
              <w:left w:val="nil"/>
              <w:bottom w:val="single" w:sz="4" w:space="0" w:color="auto"/>
              <w:right w:val="single" w:sz="4" w:space="0" w:color="auto"/>
            </w:tcBorders>
            <w:shd w:val="clear" w:color="auto" w:fill="auto"/>
            <w:hideMark/>
          </w:tcPr>
          <w:p w14:paraId="68FDB7E6" w14:textId="77777777"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Fish mass (unweighted)</w:t>
            </w:r>
          </w:p>
        </w:tc>
        <w:tc>
          <w:tcPr>
            <w:tcW w:w="3160" w:type="dxa"/>
            <w:tcBorders>
              <w:top w:val="nil"/>
              <w:left w:val="nil"/>
              <w:bottom w:val="single" w:sz="4" w:space="0" w:color="auto"/>
              <w:right w:val="single" w:sz="4" w:space="0" w:color="auto"/>
            </w:tcBorders>
            <w:shd w:val="clear" w:color="auto" w:fill="auto"/>
            <w:hideMark/>
          </w:tcPr>
          <w:p w14:paraId="6884E2DF" w14:textId="77777777"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Fish mass (unweighted)</w:t>
            </w:r>
          </w:p>
        </w:tc>
      </w:tr>
      <w:tr w:rsidR="000636AE" w:rsidRPr="000636AE" w14:paraId="0FE3C272" w14:textId="77777777" w:rsidTr="00320923">
        <w:trPr>
          <w:trHeight w:val="1039"/>
        </w:trPr>
        <w:tc>
          <w:tcPr>
            <w:tcW w:w="3480" w:type="dxa"/>
            <w:tcBorders>
              <w:top w:val="nil"/>
              <w:left w:val="single" w:sz="4" w:space="0" w:color="auto"/>
              <w:bottom w:val="single" w:sz="4" w:space="0" w:color="auto"/>
              <w:right w:val="single" w:sz="4" w:space="0" w:color="auto"/>
            </w:tcBorders>
            <w:shd w:val="clear" w:color="auto" w:fill="auto"/>
            <w:hideMark/>
          </w:tcPr>
          <w:p w14:paraId="23DEB060" w14:textId="77777777"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Includes fish size category and depth as covariates</w:t>
            </w:r>
          </w:p>
        </w:tc>
        <w:tc>
          <w:tcPr>
            <w:tcW w:w="3120" w:type="dxa"/>
            <w:tcBorders>
              <w:top w:val="nil"/>
              <w:left w:val="nil"/>
              <w:bottom w:val="single" w:sz="4" w:space="0" w:color="auto"/>
              <w:right w:val="single" w:sz="4" w:space="0" w:color="auto"/>
            </w:tcBorders>
            <w:shd w:val="clear" w:color="auto" w:fill="auto"/>
            <w:hideMark/>
          </w:tcPr>
          <w:p w14:paraId="31211E67" w14:textId="3ED33478"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Includes fish size class and geographical location (</w:t>
            </w:r>
            <w:proofErr w:type="spellStart"/>
            <w:r w:rsidRPr="000636AE">
              <w:rPr>
                <w:rFonts w:ascii="Calibri" w:eastAsia="Times New Roman" w:hAnsi="Calibri" w:cs="Calibri"/>
                <w:color w:val="000000"/>
                <w:szCs w:val="20"/>
                <w:lang w:eastAsia="en-ZA"/>
              </w:rPr>
              <w:t>lat</w:t>
            </w:r>
            <w:proofErr w:type="spellEnd"/>
            <w:r w:rsidRPr="000636AE">
              <w:rPr>
                <w:rFonts w:ascii="Calibri" w:eastAsia="Times New Roman" w:hAnsi="Calibri" w:cs="Calibri"/>
                <w:color w:val="000000"/>
                <w:szCs w:val="20"/>
                <w:lang w:eastAsia="en-ZA"/>
              </w:rPr>
              <w:t>/long) as categorical variables and depth as a covariate</w:t>
            </w:r>
          </w:p>
        </w:tc>
        <w:tc>
          <w:tcPr>
            <w:tcW w:w="3160" w:type="dxa"/>
            <w:tcBorders>
              <w:top w:val="nil"/>
              <w:left w:val="nil"/>
              <w:bottom w:val="single" w:sz="4" w:space="0" w:color="auto"/>
              <w:right w:val="single" w:sz="4" w:space="0" w:color="auto"/>
            </w:tcBorders>
            <w:shd w:val="clear" w:color="auto" w:fill="auto"/>
            <w:hideMark/>
          </w:tcPr>
          <w:p w14:paraId="5E9832DA" w14:textId="4790B5D6" w:rsidR="000636AE" w:rsidRPr="000636AE" w:rsidRDefault="000636AE" w:rsidP="000636AE">
            <w:pPr>
              <w:spacing w:after="0" w:line="240" w:lineRule="auto"/>
              <w:rPr>
                <w:rFonts w:ascii="Calibri" w:eastAsia="Times New Roman" w:hAnsi="Calibri" w:cs="Calibri"/>
                <w:color w:val="000000"/>
                <w:szCs w:val="20"/>
                <w:lang w:eastAsia="en-ZA"/>
              </w:rPr>
            </w:pPr>
            <w:r w:rsidRPr="000636AE">
              <w:rPr>
                <w:rFonts w:ascii="Calibri" w:eastAsia="Times New Roman" w:hAnsi="Calibri" w:cs="Calibri"/>
                <w:color w:val="000000"/>
                <w:szCs w:val="20"/>
                <w:lang w:eastAsia="en-ZA"/>
              </w:rPr>
              <w:t>Includes fish size class and geographical location (</w:t>
            </w:r>
            <w:proofErr w:type="spellStart"/>
            <w:r w:rsidRPr="000636AE">
              <w:rPr>
                <w:rFonts w:ascii="Calibri" w:eastAsia="Times New Roman" w:hAnsi="Calibri" w:cs="Calibri"/>
                <w:color w:val="000000"/>
                <w:szCs w:val="20"/>
                <w:lang w:eastAsia="en-ZA"/>
              </w:rPr>
              <w:t>lat</w:t>
            </w:r>
            <w:proofErr w:type="spellEnd"/>
            <w:r w:rsidRPr="000636AE">
              <w:rPr>
                <w:rFonts w:ascii="Calibri" w:eastAsia="Times New Roman" w:hAnsi="Calibri" w:cs="Calibri"/>
                <w:color w:val="000000"/>
                <w:szCs w:val="20"/>
                <w:lang w:eastAsia="en-ZA"/>
              </w:rPr>
              <w:t>/long) as categorical variables and depth as a covariate</w:t>
            </w:r>
          </w:p>
        </w:tc>
      </w:tr>
    </w:tbl>
    <w:p w14:paraId="7507B4B4" w14:textId="1ADEF46B" w:rsidR="000E241C" w:rsidRPr="00770C8F" w:rsidRDefault="00770C8F" w:rsidP="00616421">
      <w:pPr>
        <w:pStyle w:val="Style1"/>
      </w:pPr>
      <w:r>
        <w:t xml:space="preserve">RT8: </w:t>
      </w:r>
      <w:r w:rsidR="001C3A2F" w:rsidRPr="00770C8F">
        <w:t>Use of the Model A6 species splitting results for the CPUE and catch data</w:t>
      </w:r>
      <w:r w:rsidR="006C7A11" w:rsidRPr="00770C8F">
        <w:t xml:space="preserve"> (</w:t>
      </w:r>
      <w:r w:rsidR="006C7A11" w:rsidRPr="00770C8F">
        <w:rPr>
          <w:b/>
        </w:rPr>
        <w:t>A6</w:t>
      </w:r>
      <w:r w:rsidR="006C7A11" w:rsidRPr="00770C8F">
        <w:t>)</w:t>
      </w:r>
      <w:r w:rsidR="001C3A2F" w:rsidRPr="00770C8F">
        <w:t>.</w:t>
      </w:r>
    </w:p>
    <w:p w14:paraId="788CD866" w14:textId="446241F0" w:rsidR="000E241C" w:rsidRPr="000E241C" w:rsidRDefault="00B42F19" w:rsidP="000E241C">
      <w:pPr>
        <w:spacing w:before="120" w:after="80"/>
        <w:jc w:val="both"/>
      </w:pPr>
      <w:r>
        <w:lastRenderedPageBreak/>
        <w:t>The RC OM is reconditioned using the data from an alternative species splitting algorithm Model A6</w:t>
      </w:r>
      <w:r w:rsidR="00D81B9A">
        <w:t xml:space="preserve"> (see table above and </w:t>
      </w:r>
      <w:r w:rsidR="0041521C" w:rsidRPr="0068297E">
        <w:t>MARAM/IWS/2018/Hake/</w:t>
      </w:r>
      <w:r w:rsidR="0041521C">
        <w:t>BG</w:t>
      </w:r>
      <w:proofErr w:type="gramStart"/>
      <w:r w:rsidR="0041521C">
        <w:t xml:space="preserve">6 </w:t>
      </w:r>
      <w:r w:rsidR="000E241C" w:rsidRPr="00BA1A7A">
        <w:t xml:space="preserve"> </w:t>
      </w:r>
      <w:r w:rsidR="000E241C" w:rsidRPr="00770C8F">
        <w:t>for</w:t>
      </w:r>
      <w:proofErr w:type="gramEnd"/>
      <w:r w:rsidR="000E241C">
        <w:t xml:space="preserve"> more details</w:t>
      </w:r>
      <w:r w:rsidR="00D81B9A">
        <w:t>)</w:t>
      </w:r>
      <w:r w:rsidR="000E241C">
        <w:t>.</w:t>
      </w:r>
    </w:p>
    <w:p w14:paraId="49E0F158" w14:textId="0B0DCBFC" w:rsidR="006C7A11" w:rsidRPr="00616421" w:rsidRDefault="00770C8F" w:rsidP="00770C8F">
      <w:pPr>
        <w:pStyle w:val="Style1"/>
      </w:pPr>
      <w:r>
        <w:t xml:space="preserve">RT9: </w:t>
      </w:r>
      <w:r w:rsidR="006C7A11" w:rsidRPr="00616421">
        <w:t>Decrease past carrying capacity (</w:t>
      </w:r>
      <w:r w:rsidR="006C7A11" w:rsidRPr="00616421">
        <w:rPr>
          <w:b/>
        </w:rPr>
        <w:t>PK</w:t>
      </w:r>
      <w:r w:rsidR="006C7A11" w:rsidRPr="00616421">
        <w:t>).</w:t>
      </w:r>
    </w:p>
    <w:p w14:paraId="28C2CED9" w14:textId="3A28CA2D" w:rsidR="001C3A2F" w:rsidRDefault="001C3A2F" w:rsidP="006C7A11">
      <w:pPr>
        <w:spacing w:before="120" w:after="80"/>
        <w:jc w:val="both"/>
      </w:pPr>
      <w:r w:rsidRPr="006C7A11">
        <w:t>Carrying capacity for</w:t>
      </w:r>
      <w:r>
        <w:t xml:space="preserve"> both species decreases linearly by 30% between 1980 and 2000. Carrying capacity before 1980 is at the 1917 value, while carrying capacities after 2000 are at 70% of their 1917 values.</w:t>
      </w:r>
    </w:p>
    <w:p w14:paraId="5CEA90B4" w14:textId="6A7E6689" w:rsidR="006C7A11" w:rsidRPr="00616421" w:rsidRDefault="00770C8F" w:rsidP="00770C8F">
      <w:pPr>
        <w:pStyle w:val="Style1"/>
      </w:pPr>
      <w:r>
        <w:t xml:space="preserve">RT10: </w:t>
      </w:r>
      <w:r w:rsidR="006C7A11" w:rsidRPr="00616421">
        <w:t>Decrease future carrying capacity (</w:t>
      </w:r>
      <w:r w:rsidR="006C7A11" w:rsidRPr="00616421">
        <w:rPr>
          <w:b/>
        </w:rPr>
        <w:t>FK</w:t>
      </w:r>
      <w:r w:rsidR="006C7A11" w:rsidRPr="00616421">
        <w:t>)</w:t>
      </w:r>
    </w:p>
    <w:p w14:paraId="54863053" w14:textId="070EC6BA" w:rsidR="001C3A2F" w:rsidRPr="00A70D25" w:rsidRDefault="001C3A2F" w:rsidP="006C7A11">
      <w:pPr>
        <w:spacing w:before="120" w:after="80"/>
        <w:jc w:val="both"/>
      </w:pPr>
      <w:r>
        <w:t>Carrying capacity for both species decreases linearly by 30% between 2018 and 2022. Carrying capacities after 2022 are at 70% of their 1917 values.</w:t>
      </w:r>
    </w:p>
    <w:p w14:paraId="57A77100" w14:textId="14C2C373" w:rsidR="007E6D8A" w:rsidRDefault="001C3A2F" w:rsidP="00F47671">
      <w:pPr>
        <w:jc w:val="both"/>
      </w:pPr>
      <w:r>
        <w:t xml:space="preserve">For robustness tests 9 and 10 that decrease the carrying capacity, a dynamic </w:t>
      </w:r>
      <w:r w:rsidRPr="001C3A2F">
        <w:rPr>
          <w:i/>
        </w:rPr>
        <w:t>B</w:t>
      </w:r>
      <w:r w:rsidRPr="001C3A2F">
        <w:rPr>
          <w:i/>
          <w:vertAlign w:val="subscript"/>
        </w:rPr>
        <w:t>MSY</w:t>
      </w:r>
      <w:r>
        <w:t xml:space="preserve"> has been calculated</w:t>
      </w:r>
      <w:r w:rsidR="002D44BD">
        <w:rPr>
          <w:rStyle w:val="FootnoteReference"/>
        </w:rPr>
        <w:footnoteReference w:id="6"/>
      </w:r>
      <w:r>
        <w:t>.</w:t>
      </w:r>
    </w:p>
    <w:p w14:paraId="0ED0C5CF" w14:textId="069E89CA" w:rsidR="008D13AB" w:rsidRDefault="002946DB" w:rsidP="00EE3C72">
      <w:pPr>
        <w:pStyle w:val="Style2"/>
        <w:ind w:left="0"/>
      </w:pPr>
      <w:r>
        <w:t xml:space="preserve">The </w:t>
      </w:r>
      <w:r w:rsidR="008D13AB">
        <w:t xml:space="preserve">Appendix reports </w:t>
      </w:r>
      <w:r>
        <w:t>results for</w:t>
      </w:r>
      <w:r w:rsidR="008D13AB">
        <w:t xml:space="preserve"> three additional robustness tests concerning future surveys that were conducted during the course of the workshop.</w:t>
      </w:r>
    </w:p>
    <w:p w14:paraId="30052A90" w14:textId="5F7D2A03" w:rsidR="00B66C73" w:rsidRPr="00616421" w:rsidRDefault="00B66C73" w:rsidP="00616421">
      <w:pPr>
        <w:rPr>
          <w:b/>
          <w:sz w:val="22"/>
        </w:rPr>
      </w:pPr>
      <w:r w:rsidRPr="00616421">
        <w:rPr>
          <w:b/>
          <w:sz w:val="22"/>
        </w:rPr>
        <w:t xml:space="preserve">Tuning of </w:t>
      </w:r>
      <w:r w:rsidR="00BE288B" w:rsidRPr="00616421">
        <w:rPr>
          <w:b/>
          <w:sz w:val="22"/>
        </w:rPr>
        <w:t>robustness tests</w:t>
      </w:r>
    </w:p>
    <w:p w14:paraId="3F2C924D" w14:textId="35B58EE9" w:rsidR="00E272CC" w:rsidRPr="005D5977" w:rsidRDefault="00E272CC" w:rsidP="00E272CC">
      <w:pPr>
        <w:jc w:val="both"/>
      </w:pPr>
      <w:r>
        <w:t>For robustness tests simulating situations that are predictable</w:t>
      </w:r>
      <w:r w:rsidR="008A11FB">
        <w:t xml:space="preserve"> (i.e. it is known beforehand that they will occur)</w:t>
      </w:r>
      <w:r>
        <w:t xml:space="preserve"> and for which management action c</w:t>
      </w:r>
      <w:r w:rsidR="00A32266">
        <w:t xml:space="preserve">ould in theory </w:t>
      </w:r>
      <w:r>
        <w:t xml:space="preserve">be taken (e.g. a situation where no future surveys take place), the robustness tests have been re-tuned so that there is “equivalent risk” as the RC OM. This has been done as there is a trade-off </w:t>
      </w:r>
      <w:r w:rsidR="00616421">
        <w:t>between</w:t>
      </w:r>
      <w:r>
        <w:t xml:space="preserve"> changes in </w:t>
      </w:r>
      <w:r w:rsidRPr="00335747">
        <w:t xml:space="preserve">catches and final abundance as the </w:t>
      </w:r>
      <w:r>
        <w:t>projection assumptions are changed</w:t>
      </w:r>
      <w:r w:rsidR="00616421">
        <w:t>, making comparisons difficult</w:t>
      </w:r>
      <w:r w:rsidRPr="00335747">
        <w:t>. For “equivalent risk” results, the val</w:t>
      </w:r>
      <w:r w:rsidRPr="00521E48">
        <w:t xml:space="preserve">ue for the </w:t>
      </w:r>
      <w:r w:rsidRPr="00A32266">
        <w:rPr>
          <w:i/>
        </w:rPr>
        <w:t>b</w:t>
      </w:r>
      <w:r w:rsidR="009A63C7">
        <w:rPr>
          <w:i/>
          <w:vertAlign w:val="subscript"/>
        </w:rPr>
        <w:t>s</w:t>
      </w:r>
      <w:r w:rsidRPr="00521E48">
        <w:t xml:space="preserve"> control parameter</w:t>
      </w:r>
      <w:r w:rsidR="009A63C7">
        <w:t>s</w:t>
      </w:r>
      <w:r w:rsidRPr="00521E48">
        <w:t xml:space="preserve"> for each </w:t>
      </w:r>
      <w:r w:rsidR="00BF5F00">
        <w:t>relevant</w:t>
      </w:r>
      <w:r w:rsidR="00616421">
        <w:t xml:space="preserve"> </w:t>
      </w:r>
      <w:r w:rsidRPr="00521E48">
        <w:t xml:space="preserve">robustness test </w:t>
      </w:r>
      <w:r w:rsidR="00616421">
        <w:t xml:space="preserve">(i.e. the three robustness tests which simulate “known” situations, namely NS, AI and ES) </w:t>
      </w:r>
      <w:r w:rsidRPr="00521E48">
        <w:t>ha</w:t>
      </w:r>
      <w:r w:rsidR="009A63C7">
        <w:t>ve</w:t>
      </w:r>
      <w:r w:rsidRPr="00521E48">
        <w:t xml:space="preserve"> been modified so that the lower 5%-</w:t>
      </w:r>
      <w:proofErr w:type="spellStart"/>
      <w:r w:rsidRPr="00521E48">
        <w:t>ile</w:t>
      </w:r>
      <w:proofErr w:type="spellEnd"/>
      <w:r w:rsidRPr="00521E48">
        <w:t xml:space="preserve"> on the final (2042) </w:t>
      </w:r>
      <w:r w:rsidRPr="00521E48">
        <w:rPr>
          <w:i/>
        </w:rPr>
        <w:t>M. paradoxus</w:t>
      </w:r>
      <w:r w:rsidRPr="00195CAD">
        <w:t xml:space="preserve"> depletion is identical to that for the RC.</w:t>
      </w:r>
      <w:r w:rsidR="009A63C7">
        <w:t xml:space="preserve"> Again, the </w:t>
      </w:r>
      <w:r w:rsidR="009A63C7">
        <w:rPr>
          <w:i/>
        </w:rPr>
        <w:t>b</w:t>
      </w:r>
      <w:r w:rsidR="009A63C7">
        <w:rPr>
          <w:i/>
          <w:vertAlign w:val="subscript"/>
        </w:rPr>
        <w:t>s</w:t>
      </w:r>
      <w:r w:rsidR="009A63C7">
        <w:rPr>
          <w:i/>
        </w:rPr>
        <w:t xml:space="preserve"> </w:t>
      </w:r>
      <w:r w:rsidR="009A63C7">
        <w:t xml:space="preserve">parameters have been modified so as to maintain the </w:t>
      </w:r>
      <w:r w:rsidR="005D5977">
        <w:t xml:space="preserve">original </w:t>
      </w:r>
      <w:r w:rsidR="005D5977" w:rsidRPr="000D1521">
        <w:rPr>
          <w:i/>
        </w:rPr>
        <w:t>M. paradoxus</w:t>
      </w:r>
      <w:r w:rsidR="005D5977">
        <w:t xml:space="preserve"> to </w:t>
      </w:r>
      <w:r w:rsidR="005D5977" w:rsidRPr="000D1521">
        <w:rPr>
          <w:i/>
        </w:rPr>
        <w:t xml:space="preserve">M. </w:t>
      </w:r>
      <w:proofErr w:type="spellStart"/>
      <w:r w:rsidR="005D5977" w:rsidRPr="000D1521">
        <w:rPr>
          <w:i/>
        </w:rPr>
        <w:t>capensis</w:t>
      </w:r>
      <w:proofErr w:type="spellEnd"/>
      <w:r w:rsidR="005D5977">
        <w:t xml:space="preserve"> ratio.</w:t>
      </w:r>
    </w:p>
    <w:p w14:paraId="13F1D57C" w14:textId="1D011814" w:rsidR="001E2F10" w:rsidRDefault="00BB72CC" w:rsidP="00BB72CC">
      <w:pPr>
        <w:pStyle w:val="Heading2"/>
      </w:pPr>
      <w:r>
        <w:t xml:space="preserve">Results </w:t>
      </w:r>
    </w:p>
    <w:p w14:paraId="24ADE929" w14:textId="7E36BF06" w:rsidR="00230BE6" w:rsidRDefault="00A1781D" w:rsidP="00F20447">
      <w:pPr>
        <w:spacing w:after="120"/>
        <w:jc w:val="both"/>
      </w:pPr>
      <w:r>
        <w:t xml:space="preserve">The primary performance statistics are listed in </w:t>
      </w:r>
      <w:r w:rsidRPr="00984117">
        <w:fldChar w:fldCharType="begin"/>
      </w:r>
      <w:r w:rsidRPr="00984117">
        <w:instrText xml:space="preserve"> REF _Ref526364745 \h  \* MERGEFORMAT </w:instrText>
      </w:r>
      <w:r w:rsidRPr="00984117">
        <w:fldChar w:fldCharType="separate"/>
      </w:r>
      <w:r w:rsidR="00FF7098" w:rsidRPr="00FF7098">
        <w:t xml:space="preserve">Table </w:t>
      </w:r>
      <w:r w:rsidR="00FF7098" w:rsidRPr="00FF7098">
        <w:rPr>
          <w:noProof/>
        </w:rPr>
        <w:t>1</w:t>
      </w:r>
      <w:r w:rsidRPr="00984117">
        <w:fldChar w:fldCharType="end"/>
      </w:r>
      <w:r>
        <w:t>a and b.</w:t>
      </w:r>
      <w:r w:rsidR="00FF7098">
        <w:t xml:space="preserve"> </w:t>
      </w:r>
      <w:r w:rsidR="00386D1F">
        <w:t>Graphic illustrations of the</w:t>
      </w:r>
      <w:r>
        <w:t xml:space="preserve"> performance</w:t>
      </w:r>
      <w:r w:rsidR="00386D1F">
        <w:t xml:space="preserve"> statistics</w:t>
      </w:r>
      <w:r>
        <w:t xml:space="preserve"> for the RC and 10 robustness tests</w:t>
      </w:r>
      <w:r w:rsidR="00386D1F">
        <w:t xml:space="preserve"> are given</w:t>
      </w:r>
      <w:r>
        <w:t xml:space="preserve"> in</w:t>
      </w:r>
      <w:r w:rsidR="00230BE6">
        <w:t xml:space="preserve"> </w:t>
      </w:r>
      <w:r w:rsidR="00230BE6" w:rsidRPr="00984117">
        <w:fldChar w:fldCharType="begin"/>
      </w:r>
      <w:r w:rsidR="00230BE6" w:rsidRPr="00984117">
        <w:instrText xml:space="preserve"> REF _Ref525741246 \h  \* MERGEFORMAT </w:instrText>
      </w:r>
      <w:r w:rsidR="00230BE6" w:rsidRPr="00984117">
        <w:fldChar w:fldCharType="separate"/>
      </w:r>
      <w:r w:rsidR="00FF7098" w:rsidRPr="00FF7098">
        <w:t xml:space="preserve">Figure </w:t>
      </w:r>
      <w:r w:rsidR="00FF7098" w:rsidRPr="00FF7098">
        <w:rPr>
          <w:noProof/>
        </w:rPr>
        <w:t>1</w:t>
      </w:r>
      <w:r w:rsidR="00230BE6" w:rsidRPr="00984117">
        <w:fldChar w:fldCharType="end"/>
      </w:r>
      <w:r>
        <w:t>a and b, while</w:t>
      </w:r>
      <w:r w:rsidR="00230BE6">
        <w:t xml:space="preserve"> </w:t>
      </w:r>
      <w:r w:rsidR="003B4735">
        <w:t xml:space="preserve">the corresponding </w:t>
      </w:r>
      <w:r w:rsidR="00230BE6">
        <w:t xml:space="preserve">plots </w:t>
      </w:r>
      <w:r w:rsidR="008A11FB">
        <w:t xml:space="preserve">of </w:t>
      </w:r>
      <w:r w:rsidR="00230BE6">
        <w:t xml:space="preserve">the median </w:t>
      </w:r>
      <w:r w:rsidR="001E372E">
        <w:t>“</w:t>
      </w:r>
      <w:r w:rsidR="00230BE6">
        <w:t>trajectories</w:t>
      </w:r>
      <w:r w:rsidR="001E372E">
        <w:t>”</w:t>
      </w:r>
      <w:r w:rsidR="00F32D88" w:rsidRPr="00F32D88">
        <w:rPr>
          <w:rStyle w:val="FootnoteReference"/>
        </w:rPr>
        <w:t xml:space="preserve"> </w:t>
      </w:r>
      <w:r w:rsidR="00F32D88">
        <w:rPr>
          <w:rStyle w:val="FootnoteReference"/>
        </w:rPr>
        <w:footnoteReference w:id="7"/>
      </w:r>
      <w:r>
        <w:t xml:space="preserve"> and</w:t>
      </w:r>
      <w:r w:rsidR="00230BE6">
        <w:t xml:space="preserve"> probability envelopes</w:t>
      </w:r>
      <w:r w:rsidR="003B4735">
        <w:t xml:space="preserve"> for</w:t>
      </w:r>
      <w:r w:rsidR="00230BE6">
        <w:t xml:space="preserve"> B/B</w:t>
      </w:r>
      <w:r w:rsidR="00230BE6">
        <w:rPr>
          <w:vertAlign w:val="subscript"/>
        </w:rPr>
        <w:t>MSY</w:t>
      </w:r>
      <w:r w:rsidR="00230BE6">
        <w:t xml:space="preserve">, </w:t>
      </w:r>
      <w:r w:rsidR="001C3FDB">
        <w:t xml:space="preserve">catch, </w:t>
      </w:r>
      <w:r w:rsidR="00230BE6">
        <w:t>effort and CPUE</w:t>
      </w:r>
      <w:r w:rsidR="003B4735">
        <w:t xml:space="preserve"> are shown </w:t>
      </w:r>
      <w:r w:rsidR="003B4735" w:rsidRPr="003B4735">
        <w:t xml:space="preserve">in </w:t>
      </w:r>
      <w:r w:rsidR="003B4735" w:rsidRPr="003B4735">
        <w:fldChar w:fldCharType="begin"/>
      </w:r>
      <w:r w:rsidR="003B4735" w:rsidRPr="003B4735">
        <w:instrText xml:space="preserve"> REF _Ref527206235 \h  \* MERGEFORMAT </w:instrText>
      </w:r>
      <w:r w:rsidR="003B4735" w:rsidRPr="003B4735">
        <w:fldChar w:fldCharType="separate"/>
      </w:r>
      <w:r w:rsidR="00FF7098" w:rsidRPr="00FF7098">
        <w:rPr>
          <w:szCs w:val="20"/>
        </w:rPr>
        <w:t xml:space="preserve">Figure </w:t>
      </w:r>
      <w:r w:rsidR="00FF7098" w:rsidRPr="00FF7098">
        <w:rPr>
          <w:noProof/>
          <w:szCs w:val="20"/>
        </w:rPr>
        <w:t>2</w:t>
      </w:r>
      <w:r w:rsidR="003B4735" w:rsidRPr="003B4735">
        <w:fldChar w:fldCharType="end"/>
      </w:r>
      <w:r w:rsidR="003B4735">
        <w:t>a and b.</w:t>
      </w:r>
    </w:p>
    <w:p w14:paraId="5715C91F" w14:textId="07850EDC" w:rsidR="009F0BE1" w:rsidRDefault="009F0BE1" w:rsidP="009F0BE1">
      <w:pPr>
        <w:pStyle w:val="Heading2"/>
        <w:tabs>
          <w:tab w:val="left" w:pos="4536"/>
        </w:tabs>
        <w:jc w:val="both"/>
      </w:pPr>
      <w:r>
        <w:t xml:space="preserve">Discussion </w:t>
      </w:r>
    </w:p>
    <w:p w14:paraId="1697BDA7" w14:textId="1AC2E9AE" w:rsidR="009313FD" w:rsidRDefault="001657B0" w:rsidP="009313FD">
      <w:r>
        <w:t>Some brief discussion points are noted below.</w:t>
      </w:r>
    </w:p>
    <w:p w14:paraId="428B77FA" w14:textId="2BB4DF84" w:rsidR="004E6B64" w:rsidRDefault="004E6B64" w:rsidP="009313FD">
      <w:pPr>
        <w:rPr>
          <w:i/>
        </w:rPr>
      </w:pPr>
      <w:r w:rsidRPr="004E6B64">
        <w:rPr>
          <w:i/>
        </w:rPr>
        <w:t>Future surveys</w:t>
      </w:r>
    </w:p>
    <w:p w14:paraId="54EF9E80" w14:textId="430BE15D" w:rsidR="004E6B64" w:rsidRDefault="004E6B64" w:rsidP="004E6B64">
      <w:pPr>
        <w:pStyle w:val="ListParagraph"/>
        <w:numPr>
          <w:ilvl w:val="0"/>
          <w:numId w:val="6"/>
        </w:numPr>
        <w:jc w:val="both"/>
      </w:pPr>
      <w:r>
        <w:t xml:space="preserve">After re-tuning, </w:t>
      </w:r>
      <w:r w:rsidR="003C39D6">
        <w:t xml:space="preserve">results for </w:t>
      </w:r>
      <w:r>
        <w:t xml:space="preserve">the scenario of future surveys every second year </w:t>
      </w:r>
      <w:r w:rsidR="003C39D6">
        <w:t>are</w:t>
      </w:r>
      <w:r>
        <w:t xml:space="preserve"> fairly similar to the RC projections. If surveys are undertaken by industry vessel, this may result in slightly </w:t>
      </w:r>
      <w:r w:rsidR="00D531D1">
        <w:t>higher TACs over the next 25 years</w:t>
      </w:r>
      <w:r w:rsidR="00B4213B">
        <w:t xml:space="preserve">, but not substantially so. The biggest impact is </w:t>
      </w:r>
      <w:r w:rsidR="003C39D6">
        <w:t xml:space="preserve">associated with </w:t>
      </w:r>
      <w:r w:rsidR="00B4213B">
        <w:t>no future surveys</w:t>
      </w:r>
      <w:r w:rsidR="003C39D6">
        <w:t>;</w:t>
      </w:r>
      <w:r w:rsidR="00B4213B">
        <w:t xml:space="preserve"> </w:t>
      </w:r>
      <w:proofErr w:type="gramStart"/>
      <w:r w:rsidR="00B4213B">
        <w:t>however</w:t>
      </w:r>
      <w:proofErr w:type="gramEnd"/>
      <w:r w:rsidR="00B4213B">
        <w:t xml:space="preserve"> provided that the OMP is re-tuned</w:t>
      </w:r>
      <w:r w:rsidR="005E50BA">
        <w:t xml:space="preserve"> </w:t>
      </w:r>
      <w:r w:rsidR="00BF5F00">
        <w:t xml:space="preserve">should this scenario occur, </w:t>
      </w:r>
      <w:r w:rsidR="005E50BA">
        <w:t>th</w:t>
      </w:r>
      <w:r w:rsidR="00BF5F00">
        <w:t>e</w:t>
      </w:r>
      <w:r w:rsidR="005E50BA">
        <w:t xml:space="preserve"> impact is mitigated and the OMP seems able to </w:t>
      </w:r>
      <w:r w:rsidR="000E62C2">
        <w:t xml:space="preserve">provide </w:t>
      </w:r>
      <w:r w:rsidR="000213E6">
        <w:t>reliable management advice</w:t>
      </w:r>
      <w:r w:rsidR="005E50BA">
        <w:t>.</w:t>
      </w:r>
    </w:p>
    <w:p w14:paraId="599BFD35" w14:textId="77777777" w:rsidR="005B59F2" w:rsidRDefault="005B59F2" w:rsidP="005B59F2">
      <w:pPr>
        <w:pStyle w:val="ListParagraph"/>
        <w:keepNext/>
        <w:numPr>
          <w:ilvl w:val="0"/>
          <w:numId w:val="6"/>
        </w:numPr>
        <w:jc w:val="both"/>
      </w:pPr>
      <w:r>
        <w:t xml:space="preserve">Should an unexpected increase in the commercial catchability occur (both with and without future surveys) this will likely lead to higher overall TACs and consequently a somewhat more depleted </w:t>
      </w:r>
      <w:r w:rsidRPr="005B59F2">
        <w:rPr>
          <w:i/>
        </w:rPr>
        <w:t>M. paradoxus</w:t>
      </w:r>
      <w:r>
        <w:t xml:space="preserve"> resource, </w:t>
      </w:r>
      <w:r>
        <w:lastRenderedPageBreak/>
        <w:t>although the lower 5</w:t>
      </w:r>
      <w:r w:rsidRPr="005B59F2">
        <w:rPr>
          <w:vertAlign w:val="superscript"/>
        </w:rPr>
        <w:t>th</w:t>
      </w:r>
      <w:r>
        <w:t xml:space="preserve"> percentile of the B</w:t>
      </w:r>
      <w:r w:rsidRPr="005B59F2">
        <w:rPr>
          <w:vertAlign w:val="subscript"/>
        </w:rPr>
        <w:t>2042</w:t>
      </w:r>
      <w:r>
        <w:t>/B</w:t>
      </w:r>
      <w:r w:rsidRPr="005B59F2">
        <w:rPr>
          <w:vertAlign w:val="subscript"/>
        </w:rPr>
        <w:t>MSY</w:t>
      </w:r>
      <w:r>
        <w:t xml:space="preserve"> estimate remains above or close to one in all cases. It would seem that the undetected increase in catchability is not likely to have serious management implications.</w:t>
      </w:r>
    </w:p>
    <w:p w14:paraId="113942C0" w14:textId="4E9DF9D6" w:rsidR="005B59F2" w:rsidRPr="00FD192E" w:rsidRDefault="008D1CBC" w:rsidP="005B59F2">
      <w:pPr>
        <w:pStyle w:val="ListParagraph"/>
        <w:keepNext/>
        <w:numPr>
          <w:ilvl w:val="0"/>
          <w:numId w:val="6"/>
        </w:numPr>
        <w:jc w:val="both"/>
      </w:pPr>
      <w:r>
        <w:t xml:space="preserve">There is very little difference in the projections using the Model A6b and Model A6 species-splitting data. </w:t>
      </w:r>
      <w:r w:rsidR="00777FBC">
        <w:t>When comparing the Model A6b results with those from the original Algorithm 2013 species splitting algorithm, it is i</w:t>
      </w:r>
      <w:r w:rsidR="005B59F2">
        <w:t>nteresting</w:t>
      </w:r>
      <w:r w:rsidR="00777FBC">
        <w:t xml:space="preserve"> to note that there is very little difference between the two models in the short-term projected TAC values for the next few years,</w:t>
      </w:r>
      <w:r w:rsidR="005B59F2">
        <w:t xml:space="preserve"> despite the more optimistic estimate of the status of depletion for </w:t>
      </w:r>
      <w:r w:rsidR="005B59F2" w:rsidRPr="005B59F2">
        <w:rPr>
          <w:i/>
        </w:rPr>
        <w:t>M. paradoxus</w:t>
      </w:r>
      <w:r w:rsidR="005B59F2">
        <w:t xml:space="preserve"> under the new Model A6b species splitting algorithm. The 25-year TAC projections are actually more optimistic under the old species splitting algorithm (possibly because of the less depleted </w:t>
      </w:r>
      <w:r w:rsidR="005B59F2" w:rsidRPr="005B59F2">
        <w:rPr>
          <w:i/>
        </w:rPr>
        <w:t xml:space="preserve">M. </w:t>
      </w:r>
      <w:proofErr w:type="spellStart"/>
      <w:r w:rsidR="005B59F2" w:rsidRPr="005B59F2">
        <w:rPr>
          <w:i/>
        </w:rPr>
        <w:t>capensis</w:t>
      </w:r>
      <w:proofErr w:type="spellEnd"/>
      <w:r w:rsidR="005B59F2">
        <w:t xml:space="preserve"> and higher exploitable biomass estimated by this model). The simulations suggest that depletion levels for </w:t>
      </w:r>
      <w:r w:rsidR="005B59F2" w:rsidRPr="005B59F2">
        <w:rPr>
          <w:i/>
        </w:rPr>
        <w:t>M. paradoxus</w:t>
      </w:r>
      <w:r w:rsidR="005B59F2">
        <w:t xml:space="preserve"> are fairly similar after 25 years regardless of which species splitting algorithm has been assumed.</w:t>
      </w:r>
    </w:p>
    <w:p w14:paraId="0796C11A" w14:textId="39D186A0" w:rsidR="005B59F2" w:rsidRDefault="005B59F2" w:rsidP="004E6B64">
      <w:pPr>
        <w:pStyle w:val="ListParagraph"/>
        <w:numPr>
          <w:ilvl w:val="0"/>
          <w:numId w:val="6"/>
        </w:numPr>
        <w:jc w:val="both"/>
      </w:pPr>
      <w:r>
        <w:t>If the original mortality-at-age vectors assumed for the 2017 model were to be closer to reality than those estimated by the predation model, the OMP still performs adequately, with</w:t>
      </w:r>
      <w:r w:rsidR="00383BDD">
        <w:t xml:space="preserve"> slightly higher TAC</w:t>
      </w:r>
      <w:r w:rsidR="003C39D6">
        <w:t>s</w:t>
      </w:r>
      <w:r w:rsidR="00383BDD">
        <w:t xml:space="preserve"> predicted over the next 25 years.</w:t>
      </w:r>
    </w:p>
    <w:p w14:paraId="35A55148" w14:textId="7D1B607F" w:rsidR="00383BDD" w:rsidRDefault="00967E70" w:rsidP="004E6B64">
      <w:pPr>
        <w:pStyle w:val="ListParagraph"/>
        <w:numPr>
          <w:ilvl w:val="0"/>
          <w:numId w:val="6"/>
        </w:numPr>
        <w:jc w:val="both"/>
      </w:pPr>
      <w:r>
        <w:t xml:space="preserve">Decreasing past carrying capacity </w:t>
      </w:r>
      <w:r w:rsidR="00642EB0">
        <w:t xml:space="preserve">(simulating a situation where recruitment fails) </w:t>
      </w:r>
      <w:r>
        <w:t xml:space="preserve">results in a more optimistic perception of the </w:t>
      </w:r>
      <w:r>
        <w:rPr>
          <w:i/>
        </w:rPr>
        <w:t xml:space="preserve">M. paradoxus </w:t>
      </w:r>
      <w:r>
        <w:t xml:space="preserve">resource, although the lower bounds of the </w:t>
      </w:r>
      <w:r>
        <w:rPr>
          <w:i/>
        </w:rPr>
        <w:t xml:space="preserve">M. </w:t>
      </w:r>
      <w:proofErr w:type="spellStart"/>
      <w:r>
        <w:rPr>
          <w:i/>
        </w:rPr>
        <w:t>capenis</w:t>
      </w:r>
      <w:proofErr w:type="spellEnd"/>
      <w:r>
        <w:t xml:space="preserve"> depletion estimates are more pessimistic. However, the method for calculation of dynamic </w:t>
      </w:r>
      <w:r>
        <w:rPr>
          <w:i/>
        </w:rPr>
        <w:t>B</w:t>
      </w:r>
      <w:r>
        <w:rPr>
          <w:i/>
        </w:rPr>
        <w:softHyphen/>
      </w:r>
      <w:r>
        <w:rPr>
          <w:i/>
          <w:vertAlign w:val="subscript"/>
        </w:rPr>
        <w:t>MSY</w:t>
      </w:r>
      <w:r>
        <w:t xml:space="preserve"> could still be refined</w:t>
      </w:r>
      <w:r w:rsidR="00642EB0">
        <w:t>, in which case</w:t>
      </w:r>
      <w:r>
        <w:t xml:space="preserve"> the </w:t>
      </w:r>
      <w:r>
        <w:rPr>
          <w:i/>
        </w:rPr>
        <w:t>B/B</w:t>
      </w:r>
      <w:r w:rsidR="00642EB0">
        <w:rPr>
          <w:i/>
          <w:vertAlign w:val="subscript"/>
        </w:rPr>
        <w:t>MSY</w:t>
      </w:r>
      <w:r w:rsidR="00642EB0">
        <w:t xml:space="preserve"> estimates might change. Projected catch in this case is fairly similar to the RC.</w:t>
      </w:r>
      <w:r>
        <w:t xml:space="preserve"> </w:t>
      </w:r>
      <w:r w:rsidR="00642EB0">
        <w:t xml:space="preserve">Decreasing </w:t>
      </w:r>
      <w:r w:rsidR="00383BDD">
        <w:t xml:space="preserve">future carrying capacity </w:t>
      </w:r>
      <w:r w:rsidR="00642EB0">
        <w:t>has a more severe negative impact on projected TAC, with a projected increase in effort and decrease in CPUE in the short-term</w:t>
      </w:r>
      <w:r w:rsidR="000B13C3">
        <w:t>. However,</w:t>
      </w:r>
      <w:r w:rsidR="00D9620E">
        <w:t xml:space="preserve"> long-term projections are more similar to the RC, with </w:t>
      </w:r>
      <w:r w:rsidR="00D9620E">
        <w:rPr>
          <w:i/>
        </w:rPr>
        <w:t>B/B</w:t>
      </w:r>
      <w:r w:rsidR="00D9620E">
        <w:rPr>
          <w:i/>
          <w:vertAlign w:val="subscript"/>
        </w:rPr>
        <w:t>MSY</w:t>
      </w:r>
      <w:r w:rsidR="00D9620E">
        <w:rPr>
          <w:i/>
        </w:rPr>
        <w:t xml:space="preserve"> </w:t>
      </w:r>
      <w:r w:rsidR="00D9620E">
        <w:t xml:space="preserve">estimates well above one for both species at the end of the projection period, suggesting that the rules of the OMP should be able to </w:t>
      </w:r>
      <w:r w:rsidR="000B13C3">
        <w:t>cope adequately with</w:t>
      </w:r>
      <w:r w:rsidR="00D9620E">
        <w:t xml:space="preserve"> a situation where recruitment fails in the future.</w:t>
      </w:r>
    </w:p>
    <w:p w14:paraId="2B7CF670" w14:textId="25E7E5A0" w:rsidR="007839A7" w:rsidRPr="004E6B64" w:rsidRDefault="007839A7" w:rsidP="004E6B64">
      <w:pPr>
        <w:pStyle w:val="ListParagraph"/>
        <w:numPr>
          <w:ilvl w:val="0"/>
          <w:numId w:val="6"/>
        </w:numPr>
        <w:jc w:val="both"/>
      </w:pPr>
      <w:r>
        <w:t>None of the robustness tests reported on in this document provide evidence that OMP2018 could not be used to sustainably manage the hake resource in the various situations simulated.</w:t>
      </w:r>
    </w:p>
    <w:p w14:paraId="4668EA67" w14:textId="77777777" w:rsidR="005604C4" w:rsidRDefault="005604C4" w:rsidP="005604C4">
      <w:pPr>
        <w:pStyle w:val="Heading2"/>
      </w:pPr>
      <w:r>
        <w:t>Acknowledgements</w:t>
      </w:r>
    </w:p>
    <w:p w14:paraId="41F53E25" w14:textId="1E51DCBA" w:rsidR="005604C4" w:rsidRPr="005604C4" w:rsidRDefault="005604C4" w:rsidP="0028067C">
      <w:pPr>
        <w:jc w:val="both"/>
        <w:rPr>
          <w:rFonts w:cstheme="minorHAnsi"/>
          <w:i/>
          <w:szCs w:val="20"/>
        </w:rPr>
      </w:pPr>
      <w:r w:rsidRPr="005604C4">
        <w:rPr>
          <w:rStyle w:val="Emphasis"/>
          <w:rFonts w:cstheme="minorHAnsi"/>
          <w:i w:val="0"/>
          <w:color w:val="2B2B2B"/>
          <w:szCs w:val="20"/>
          <w:shd w:val="clear" w:color="auto" w:fill="FFFFFF"/>
        </w:rPr>
        <w:t>Computations were performed using facilities provided by the University of Cape Town’s ICTS High Performance Computing team: </w:t>
      </w:r>
      <w:hyperlink r:id="rId8" w:history="1">
        <w:r w:rsidRPr="005604C4">
          <w:rPr>
            <w:rStyle w:val="Hyperlink"/>
            <w:rFonts w:cstheme="minorHAnsi"/>
            <w:i/>
            <w:iCs/>
            <w:color w:val="1B98E0"/>
            <w:szCs w:val="20"/>
          </w:rPr>
          <w:t>hpc.uct.ac.za</w:t>
        </w:r>
      </w:hyperlink>
      <w:r w:rsidRPr="005604C4">
        <w:rPr>
          <w:rStyle w:val="Emphasis"/>
          <w:rFonts w:cstheme="minorHAnsi"/>
          <w:i w:val="0"/>
          <w:color w:val="2B2B2B"/>
          <w:szCs w:val="20"/>
          <w:shd w:val="clear" w:color="auto" w:fill="FFFFFF"/>
        </w:rPr>
        <w:t xml:space="preserve">. </w:t>
      </w:r>
      <w:r w:rsidR="000B13C3">
        <w:rPr>
          <w:rStyle w:val="Emphasis"/>
          <w:rFonts w:cstheme="minorHAnsi"/>
          <w:i w:val="0"/>
          <w:color w:val="2B2B2B"/>
          <w:szCs w:val="20"/>
          <w:shd w:val="clear" w:color="auto" w:fill="FFFFFF"/>
        </w:rPr>
        <w:t xml:space="preserve">AR-G acknowledges post-doctoral support from the </w:t>
      </w:r>
      <w:r w:rsidRPr="0028067C">
        <w:rPr>
          <w:rStyle w:val="Emphasis"/>
          <w:rFonts w:cstheme="minorHAnsi"/>
          <w:i w:val="0"/>
          <w:color w:val="2B2B2B"/>
          <w:szCs w:val="20"/>
          <w:shd w:val="clear" w:color="auto" w:fill="FFFFFF"/>
        </w:rPr>
        <w:t>Claude Leon F</w:t>
      </w:r>
      <w:r w:rsidR="000B13C3" w:rsidRPr="0028067C">
        <w:rPr>
          <w:rStyle w:val="Emphasis"/>
          <w:rFonts w:cstheme="minorHAnsi"/>
          <w:i w:val="0"/>
          <w:color w:val="2B2B2B"/>
          <w:szCs w:val="20"/>
          <w:shd w:val="clear" w:color="auto" w:fill="FFFFFF"/>
        </w:rPr>
        <w:t>oundation.</w:t>
      </w:r>
    </w:p>
    <w:p w14:paraId="363AC21D" w14:textId="203FBFDB" w:rsidR="00F20447" w:rsidRDefault="00F20447" w:rsidP="00D2535A">
      <w:pPr>
        <w:jc w:val="both"/>
        <w:sectPr w:rsidR="00F20447" w:rsidSect="001223BD">
          <w:headerReference w:type="default" r:id="rId9"/>
          <w:footerReference w:type="default" r:id="rId10"/>
          <w:pgSz w:w="11906" w:h="16838"/>
          <w:pgMar w:top="1134" w:right="1134" w:bottom="1134" w:left="1134" w:header="709" w:footer="709" w:gutter="0"/>
          <w:cols w:space="708"/>
          <w:docGrid w:linePitch="360"/>
        </w:sectPr>
      </w:pPr>
    </w:p>
    <w:tbl>
      <w:tblPr>
        <w:tblStyle w:val="TableGrid"/>
        <w:tblW w:w="1530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25"/>
      </w:tblGrid>
      <w:tr w:rsidR="00166185" w14:paraId="7B9792E2" w14:textId="77777777" w:rsidTr="00FF7098">
        <w:trPr>
          <w:jc w:val="center"/>
        </w:trPr>
        <w:tc>
          <w:tcPr>
            <w:tcW w:w="15309" w:type="dxa"/>
          </w:tcPr>
          <w:p w14:paraId="04B5C36D" w14:textId="4598A51F" w:rsidR="00166185" w:rsidRDefault="00166185" w:rsidP="00013C02">
            <w:pPr>
              <w:ind w:left="746" w:hanging="746"/>
              <w:jc w:val="both"/>
              <w:rPr>
                <w:szCs w:val="20"/>
              </w:rPr>
            </w:pPr>
            <w:bookmarkStart w:id="2" w:name="_Ref526364745"/>
            <w:r w:rsidRPr="00013C02">
              <w:rPr>
                <w:b/>
                <w:szCs w:val="20"/>
              </w:rPr>
              <w:lastRenderedPageBreak/>
              <w:t xml:space="preserve">Table </w:t>
            </w:r>
            <w:r w:rsidRPr="00013C02">
              <w:rPr>
                <w:b/>
                <w:szCs w:val="20"/>
              </w:rPr>
              <w:fldChar w:fldCharType="begin"/>
            </w:r>
            <w:r w:rsidRPr="00013C02">
              <w:rPr>
                <w:b/>
                <w:szCs w:val="20"/>
              </w:rPr>
              <w:instrText xml:space="preserve"> SEQ Table \* ARABIC </w:instrText>
            </w:r>
            <w:r w:rsidRPr="00013C02">
              <w:rPr>
                <w:b/>
                <w:szCs w:val="20"/>
              </w:rPr>
              <w:fldChar w:fldCharType="separate"/>
            </w:r>
            <w:r w:rsidR="00FF7098">
              <w:rPr>
                <w:b/>
                <w:noProof/>
                <w:szCs w:val="20"/>
              </w:rPr>
              <w:t>1</w:t>
            </w:r>
            <w:r w:rsidRPr="00013C02">
              <w:rPr>
                <w:b/>
                <w:szCs w:val="20"/>
              </w:rPr>
              <w:fldChar w:fldCharType="end"/>
            </w:r>
            <w:bookmarkEnd w:id="2"/>
            <w:r w:rsidR="00495BFA">
              <w:rPr>
                <w:b/>
                <w:szCs w:val="20"/>
              </w:rPr>
              <w:t>a</w:t>
            </w:r>
            <w:r w:rsidRPr="00013C02">
              <w:rPr>
                <w:b/>
                <w:szCs w:val="20"/>
              </w:rPr>
              <w:t xml:space="preserve">: </w:t>
            </w:r>
            <w:r w:rsidR="00FE178C">
              <w:rPr>
                <w:szCs w:val="20"/>
              </w:rPr>
              <w:t>The first row of the Table list the p</w:t>
            </w:r>
            <w:r w:rsidRPr="00013C02">
              <w:rPr>
                <w:szCs w:val="20"/>
              </w:rPr>
              <w:t>erformance statistics</w:t>
            </w:r>
            <w:r w:rsidR="00DB450C">
              <w:rPr>
                <w:szCs w:val="20"/>
              </w:rPr>
              <w:t xml:space="preserve"> for</w:t>
            </w:r>
            <w:r w:rsidR="00BF47B0">
              <w:rPr>
                <w:szCs w:val="20"/>
              </w:rPr>
              <w:t xml:space="preserve"> </w:t>
            </w:r>
            <w:r w:rsidR="00DB450C">
              <w:rPr>
                <w:szCs w:val="20"/>
              </w:rPr>
              <w:t xml:space="preserve">OMP2018 (cap of 160 00t and a 5% increase in </w:t>
            </w:r>
            <w:r w:rsidR="00DB450C">
              <w:rPr>
                <w:i/>
                <w:szCs w:val="20"/>
              </w:rPr>
              <w:t>b</w:t>
            </w:r>
            <w:r w:rsidR="00DB450C">
              <w:rPr>
                <w:szCs w:val="20"/>
              </w:rPr>
              <w:t>)</w:t>
            </w:r>
            <w:r w:rsidR="00FF7098">
              <w:rPr>
                <w:szCs w:val="20"/>
              </w:rPr>
              <w:t>, which</w:t>
            </w:r>
            <w:r w:rsidR="003F109C" w:rsidRPr="00013C02">
              <w:rPr>
                <w:szCs w:val="20"/>
              </w:rPr>
              <w:t xml:space="preserve"> are reported as medians of the equally weighted simulations from the nine RS models (i.e. medians of 9x100 values) with their 90% probability intervals, except for the second columns under </w:t>
            </w:r>
            <w:proofErr w:type="spellStart"/>
            <w:r w:rsidR="006740B0" w:rsidRPr="00013C02">
              <w:rPr>
                <w:szCs w:val="20"/>
              </w:rPr>
              <w:t>TAC</w:t>
            </w:r>
            <w:r w:rsidR="006740B0" w:rsidRPr="00013C02">
              <w:rPr>
                <w:szCs w:val="20"/>
                <w:vertAlign w:val="subscript"/>
              </w:rPr>
              <w:t>av</w:t>
            </w:r>
            <w:proofErr w:type="spellEnd"/>
            <w:r w:rsidR="003F109C" w:rsidRPr="00013C02">
              <w:rPr>
                <w:szCs w:val="20"/>
              </w:rPr>
              <w:t xml:space="preserve">(25 </w:t>
            </w:r>
            <w:proofErr w:type="spellStart"/>
            <w:r w:rsidR="003F109C" w:rsidRPr="00013C02">
              <w:rPr>
                <w:szCs w:val="20"/>
              </w:rPr>
              <w:t>yrs</w:t>
            </w:r>
            <w:proofErr w:type="spellEnd"/>
            <w:r w:rsidR="003F109C" w:rsidRPr="00013C02">
              <w:rPr>
                <w:szCs w:val="20"/>
              </w:rPr>
              <w:t xml:space="preserve">) and </w:t>
            </w:r>
            <w:proofErr w:type="spellStart"/>
            <w:r w:rsidR="006740B0" w:rsidRPr="00013C02">
              <w:rPr>
                <w:szCs w:val="20"/>
              </w:rPr>
              <w:t>TAC</w:t>
            </w:r>
            <w:r w:rsidR="006740B0" w:rsidRPr="00013C02">
              <w:rPr>
                <w:szCs w:val="20"/>
                <w:vertAlign w:val="subscript"/>
              </w:rPr>
              <w:t>av</w:t>
            </w:r>
            <w:proofErr w:type="spellEnd"/>
            <w:r w:rsidR="006740B0" w:rsidRPr="00013C02">
              <w:rPr>
                <w:szCs w:val="20"/>
              </w:rPr>
              <w:t xml:space="preserve"> </w:t>
            </w:r>
            <w:r w:rsidR="003F109C" w:rsidRPr="00013C02">
              <w:rPr>
                <w:szCs w:val="20"/>
              </w:rPr>
              <w:t>(4yrs) where the means and standard deviations are also listed.</w:t>
            </w:r>
          </w:p>
          <w:p w14:paraId="212AE6DB" w14:textId="0CEF9B47" w:rsidR="00DB450C" w:rsidRDefault="00DB450C" w:rsidP="00E636FB">
            <w:pPr>
              <w:spacing w:after="120"/>
              <w:ind w:left="748"/>
              <w:jc w:val="both"/>
              <w:rPr>
                <w:rFonts w:eastAsia="Times New Roman" w:cstheme="minorHAnsi"/>
                <w:szCs w:val="20"/>
                <w:lang w:eastAsia="en-ZA"/>
              </w:rPr>
            </w:pPr>
            <w:r>
              <w:rPr>
                <w:szCs w:val="20"/>
              </w:rPr>
              <w:t xml:space="preserve">The second part of the table lists the performance statics for the RS02 Reference Case (RC) OM (the RS OM with Ricker stock recruitment and central year of catch shift 1958) and 10 robustness tests, where all tests have been conducted for RS02 only. Where robustness tests involve future </w:t>
            </w:r>
            <w:r w:rsidRPr="00DB450C">
              <w:rPr>
                <w:szCs w:val="20"/>
              </w:rPr>
              <w:t xml:space="preserve">occurrences </w:t>
            </w:r>
            <w:r w:rsidR="00B202BE">
              <w:rPr>
                <w:szCs w:val="20"/>
              </w:rPr>
              <w:t>for which it would likely</w:t>
            </w:r>
            <w:r w:rsidR="00DA6EAF">
              <w:rPr>
                <w:szCs w:val="20"/>
              </w:rPr>
              <w:t xml:space="preserve"> be known </w:t>
            </w:r>
            <w:r w:rsidR="00334630">
              <w:rPr>
                <w:szCs w:val="20"/>
              </w:rPr>
              <w:t>beforehand whether</w:t>
            </w:r>
            <w:r w:rsidR="00DA6EAF">
              <w:rPr>
                <w:szCs w:val="20"/>
              </w:rPr>
              <w:t xml:space="preserve"> they </w:t>
            </w:r>
            <w:r w:rsidR="00334630">
              <w:rPr>
                <w:szCs w:val="20"/>
              </w:rPr>
              <w:t>would</w:t>
            </w:r>
            <w:r w:rsidR="00DA6EAF">
              <w:rPr>
                <w:szCs w:val="20"/>
              </w:rPr>
              <w:t xml:space="preserve"> occur </w:t>
            </w:r>
            <w:r w:rsidRPr="00DB450C">
              <w:rPr>
                <w:szCs w:val="20"/>
              </w:rPr>
              <w:t>(</w:t>
            </w:r>
            <w:r w:rsidR="00E636FB">
              <w:rPr>
                <w:szCs w:val="20"/>
              </w:rPr>
              <w:t>marked with a star in the table below</w:t>
            </w:r>
            <w:r w:rsidRPr="00DB450C">
              <w:rPr>
                <w:szCs w:val="20"/>
              </w:rPr>
              <w:t xml:space="preserve">), the robustness test </w:t>
            </w:r>
            <w:r w:rsidRPr="00DB450C">
              <w:rPr>
                <w:i/>
                <w:szCs w:val="20"/>
              </w:rPr>
              <w:t>b</w:t>
            </w:r>
            <w:r w:rsidR="00334630" w:rsidRPr="00DF430C">
              <w:rPr>
                <w:i/>
                <w:szCs w:val="20"/>
                <w:vertAlign w:val="subscript"/>
              </w:rPr>
              <w:t>s</w:t>
            </w:r>
            <w:r w:rsidRPr="00DB450C">
              <w:rPr>
                <w:i/>
                <w:szCs w:val="20"/>
              </w:rPr>
              <w:t xml:space="preserve"> </w:t>
            </w:r>
            <w:r w:rsidRPr="00DB450C">
              <w:rPr>
                <w:szCs w:val="20"/>
              </w:rPr>
              <w:t>parameter</w:t>
            </w:r>
            <w:r w:rsidR="00334630">
              <w:rPr>
                <w:szCs w:val="20"/>
              </w:rPr>
              <w:t>s</w:t>
            </w:r>
            <w:r w:rsidRPr="00DB450C">
              <w:rPr>
                <w:szCs w:val="20"/>
              </w:rPr>
              <w:t xml:space="preserve"> w</w:t>
            </w:r>
            <w:r w:rsidR="00334630">
              <w:rPr>
                <w:szCs w:val="20"/>
              </w:rPr>
              <w:t>ere</w:t>
            </w:r>
            <w:r w:rsidRPr="00DB450C">
              <w:rPr>
                <w:szCs w:val="20"/>
              </w:rPr>
              <w:t xml:space="preserve"> tuned so that the risk (</w:t>
            </w:r>
            <w:r>
              <w:rPr>
                <w:szCs w:val="20"/>
              </w:rPr>
              <w:t xml:space="preserve">defined as the </w:t>
            </w:r>
            <w:r w:rsidRPr="00DB450C">
              <w:rPr>
                <w:szCs w:val="20"/>
              </w:rPr>
              <w:t>lower 5</w:t>
            </w:r>
            <w:r w:rsidRPr="00DB450C">
              <w:rPr>
                <w:szCs w:val="20"/>
                <w:vertAlign w:val="superscript"/>
              </w:rPr>
              <w:t>th</w:t>
            </w:r>
            <w:r w:rsidRPr="00DB450C">
              <w:rPr>
                <w:szCs w:val="20"/>
              </w:rPr>
              <w:t xml:space="preserve"> percentile o</w:t>
            </w:r>
            <w:r w:rsidRPr="00DB450C">
              <w:rPr>
                <w:rFonts w:cstheme="minorHAnsi"/>
                <w:szCs w:val="20"/>
              </w:rPr>
              <w:t xml:space="preserve">f the </w:t>
            </w:r>
            <w:r w:rsidRPr="00DB450C">
              <w:rPr>
                <w:rFonts w:eastAsia="Times New Roman" w:cstheme="minorHAnsi"/>
                <w:szCs w:val="20"/>
                <w:lang w:eastAsia="en-ZA"/>
              </w:rPr>
              <w:t>B</w:t>
            </w:r>
            <w:r w:rsidRPr="00DB450C">
              <w:rPr>
                <w:rFonts w:eastAsia="Times New Roman" w:cstheme="minorHAnsi"/>
                <w:szCs w:val="20"/>
                <w:vertAlign w:val="subscript"/>
                <w:lang w:eastAsia="en-ZA"/>
              </w:rPr>
              <w:t>2042</w:t>
            </w:r>
            <w:r w:rsidRPr="00DB450C">
              <w:rPr>
                <w:rFonts w:eastAsia="Times New Roman" w:cstheme="minorHAnsi"/>
                <w:szCs w:val="20"/>
                <w:lang w:eastAsia="en-ZA"/>
              </w:rPr>
              <w:t>/B</w:t>
            </w:r>
            <w:r w:rsidRPr="00DB450C">
              <w:rPr>
                <w:rFonts w:eastAsia="Times New Roman" w:cstheme="minorHAnsi"/>
                <w:szCs w:val="20"/>
                <w:vertAlign w:val="subscript"/>
                <w:lang w:eastAsia="en-ZA"/>
              </w:rPr>
              <w:t xml:space="preserve">MSY </w:t>
            </w:r>
            <w:r w:rsidRPr="00DB450C">
              <w:rPr>
                <w:rFonts w:eastAsia="Times New Roman" w:cstheme="minorHAnsi"/>
                <w:szCs w:val="20"/>
                <w:lang w:eastAsia="en-ZA"/>
              </w:rPr>
              <w:t>value</w:t>
            </w:r>
            <w:r w:rsidR="00334630">
              <w:rPr>
                <w:rFonts w:eastAsia="Times New Roman" w:cstheme="minorHAnsi"/>
                <w:szCs w:val="20"/>
                <w:lang w:eastAsia="en-ZA"/>
              </w:rPr>
              <w:t xml:space="preserve"> for </w:t>
            </w:r>
            <w:r w:rsidR="00334630" w:rsidRPr="000D1521">
              <w:rPr>
                <w:rFonts w:eastAsia="Times New Roman" w:cstheme="minorHAnsi"/>
                <w:i/>
                <w:szCs w:val="20"/>
                <w:lang w:eastAsia="en-ZA"/>
              </w:rPr>
              <w:t>M. paradoxus</w:t>
            </w:r>
            <w:r w:rsidRPr="00DB450C">
              <w:rPr>
                <w:rFonts w:eastAsia="Times New Roman" w:cstheme="minorHAnsi"/>
                <w:szCs w:val="20"/>
                <w:lang w:eastAsia="en-ZA"/>
              </w:rPr>
              <w:t>)</w:t>
            </w:r>
            <w:r>
              <w:rPr>
                <w:rFonts w:eastAsia="Times New Roman" w:cstheme="minorHAnsi"/>
                <w:szCs w:val="20"/>
                <w:lang w:eastAsia="en-ZA"/>
              </w:rPr>
              <w:t xml:space="preserve"> is within half a percent of the RC results.</w:t>
            </w:r>
            <w:r w:rsidR="00BF5D17">
              <w:rPr>
                <w:rFonts w:eastAsia="Times New Roman" w:cstheme="minorHAnsi"/>
                <w:szCs w:val="20"/>
                <w:lang w:eastAsia="en-ZA"/>
              </w:rPr>
              <w:t xml:space="preserve"> The abbreviation </w:t>
            </w:r>
            <w:r w:rsidR="00307433">
              <w:rPr>
                <w:rFonts w:eastAsia="Times New Roman" w:cstheme="minorHAnsi"/>
                <w:szCs w:val="20"/>
                <w:lang w:eastAsia="en-ZA"/>
              </w:rPr>
              <w:t xml:space="preserve">“NS” stands for “no surveys” and </w:t>
            </w:r>
            <w:r w:rsidR="00BF5D17">
              <w:rPr>
                <w:rFonts w:eastAsia="Times New Roman" w:cstheme="minorHAnsi"/>
                <w:szCs w:val="20"/>
                <w:lang w:eastAsia="en-ZA"/>
              </w:rPr>
              <w:t>“UCI” stands for “undetected catchability increase”.</w:t>
            </w:r>
          </w:p>
          <w:p w14:paraId="527C09FA" w14:textId="7AFC0941" w:rsidR="004A3E1E" w:rsidRPr="004A3E1E" w:rsidRDefault="004A3E1E" w:rsidP="00E636FB">
            <w:pPr>
              <w:spacing w:after="120"/>
              <w:ind w:left="748"/>
              <w:jc w:val="both"/>
              <w:rPr>
                <w:szCs w:val="20"/>
              </w:rPr>
            </w:pPr>
            <w:r w:rsidRPr="004A3E1E">
              <w:rPr>
                <w:szCs w:val="20"/>
              </w:rPr>
              <w:t xml:space="preserve">The performance statistics </w:t>
            </w:r>
            <w:r w:rsidR="000D75F2">
              <w:rPr>
                <w:szCs w:val="20"/>
              </w:rPr>
              <w:t xml:space="preserve">here in </w:t>
            </w:r>
            <w:r w:rsidR="000D75F2" w:rsidRPr="009C776F">
              <w:rPr>
                <w:szCs w:val="20"/>
              </w:rPr>
              <w:fldChar w:fldCharType="begin"/>
            </w:r>
            <w:r w:rsidR="000D75F2" w:rsidRPr="009C776F">
              <w:rPr>
                <w:szCs w:val="20"/>
              </w:rPr>
              <w:instrText xml:space="preserve"> REF _Ref526364745 \h  \* MERGEFORMAT </w:instrText>
            </w:r>
            <w:r w:rsidR="000D75F2" w:rsidRPr="009C776F">
              <w:rPr>
                <w:szCs w:val="20"/>
              </w:rPr>
            </w:r>
            <w:r w:rsidR="000D75F2" w:rsidRPr="009C776F">
              <w:rPr>
                <w:szCs w:val="20"/>
              </w:rPr>
              <w:fldChar w:fldCharType="separate"/>
            </w:r>
            <w:r w:rsidR="00FF7098" w:rsidRPr="00FF7098">
              <w:rPr>
                <w:szCs w:val="20"/>
              </w:rPr>
              <w:t xml:space="preserve">Table </w:t>
            </w:r>
            <w:r w:rsidR="00FF7098" w:rsidRPr="00FF7098">
              <w:rPr>
                <w:noProof/>
                <w:szCs w:val="20"/>
              </w:rPr>
              <w:t>1</w:t>
            </w:r>
            <w:r w:rsidR="000D75F2" w:rsidRPr="009C776F">
              <w:rPr>
                <w:szCs w:val="20"/>
              </w:rPr>
              <w:fldChar w:fldCharType="end"/>
            </w:r>
            <w:r w:rsidR="000D75F2" w:rsidRPr="009C776F">
              <w:rPr>
                <w:szCs w:val="20"/>
              </w:rPr>
              <w:t>a</w:t>
            </w:r>
            <w:r w:rsidR="000D75F2" w:rsidRPr="004A3E1E">
              <w:rPr>
                <w:szCs w:val="20"/>
              </w:rPr>
              <w:t xml:space="preserve"> </w:t>
            </w:r>
            <w:r w:rsidRPr="004A3E1E">
              <w:rPr>
                <w:szCs w:val="20"/>
              </w:rPr>
              <w:t xml:space="preserve">are </w:t>
            </w:r>
            <w:proofErr w:type="spellStart"/>
            <w:r w:rsidRPr="004A3E1E">
              <w:rPr>
                <w:szCs w:val="20"/>
              </w:rPr>
              <w:t>B</w:t>
            </w:r>
            <w:r w:rsidRPr="004A3E1E">
              <w:rPr>
                <w:szCs w:val="20"/>
                <w:vertAlign w:val="superscript"/>
              </w:rPr>
              <w:t>sp</w:t>
            </w:r>
            <w:proofErr w:type="spellEnd"/>
            <w:r w:rsidRPr="004A3E1E">
              <w:rPr>
                <w:szCs w:val="20"/>
              </w:rPr>
              <w:t>/B</w:t>
            </w:r>
            <w:r w:rsidRPr="004A3E1E">
              <w:rPr>
                <w:szCs w:val="20"/>
                <w:vertAlign w:val="subscript"/>
              </w:rPr>
              <w:t>MSY</w:t>
            </w:r>
            <w:r w:rsidRPr="004A3E1E">
              <w:rPr>
                <w:szCs w:val="20"/>
              </w:rPr>
              <w:t xml:space="preserve"> </w:t>
            </w:r>
            <w:r w:rsidR="000D75F2">
              <w:rPr>
                <w:szCs w:val="20"/>
              </w:rPr>
              <w:t>for 2042 (final year of the projection period) and for 2022 (end of the life span of OMP2018) and</w:t>
            </w:r>
            <w:r w:rsidRPr="004A3E1E">
              <w:rPr>
                <w:szCs w:val="20"/>
              </w:rPr>
              <w:t xml:space="preserve"> </w:t>
            </w:r>
            <w:r w:rsidR="000D75F2" w:rsidRPr="00B9388C">
              <w:rPr>
                <w:rFonts w:ascii="Arial" w:eastAsia="Times New Roman" w:hAnsi="Arial" w:cs="Arial"/>
                <w:sz w:val="18"/>
                <w:szCs w:val="18"/>
                <w:lang w:eastAsia="en-ZA"/>
              </w:rPr>
              <w:t>B</w:t>
            </w:r>
            <w:r w:rsidR="000D75F2" w:rsidRPr="00B9388C">
              <w:rPr>
                <w:rFonts w:ascii="Arial" w:eastAsia="Times New Roman" w:hAnsi="Arial" w:cs="Arial"/>
                <w:sz w:val="18"/>
                <w:szCs w:val="18"/>
                <w:vertAlign w:val="subscript"/>
                <w:lang w:eastAsia="en-ZA"/>
              </w:rPr>
              <w:t>low</w:t>
            </w:r>
            <w:r w:rsidR="000D75F2" w:rsidRPr="00B9388C">
              <w:rPr>
                <w:rFonts w:ascii="Arial" w:eastAsia="Times New Roman" w:hAnsi="Arial" w:cs="Arial"/>
                <w:sz w:val="18"/>
                <w:szCs w:val="18"/>
                <w:lang w:eastAsia="en-ZA"/>
              </w:rPr>
              <w:t>/B</w:t>
            </w:r>
            <w:r w:rsidR="000D75F2" w:rsidRPr="00B9388C">
              <w:rPr>
                <w:rFonts w:ascii="Arial" w:eastAsia="Times New Roman" w:hAnsi="Arial" w:cs="Arial"/>
                <w:sz w:val="18"/>
                <w:szCs w:val="18"/>
                <w:vertAlign w:val="subscript"/>
                <w:lang w:eastAsia="en-ZA"/>
              </w:rPr>
              <w:t>MSY</w:t>
            </w:r>
            <w:r w:rsidR="000D75F2" w:rsidRPr="004A3E1E">
              <w:rPr>
                <w:szCs w:val="20"/>
              </w:rPr>
              <w:t xml:space="preserve"> </w:t>
            </w:r>
            <w:r w:rsidR="000D75F2">
              <w:rPr>
                <w:szCs w:val="20"/>
              </w:rPr>
              <w:t>(</w:t>
            </w:r>
            <w:r w:rsidRPr="004A3E1E">
              <w:rPr>
                <w:szCs w:val="20"/>
              </w:rPr>
              <w:t>the lowest value of this statistic in the projection period)</w:t>
            </w:r>
            <w:r w:rsidR="000D75F2">
              <w:rPr>
                <w:szCs w:val="20"/>
              </w:rPr>
              <w:t>.</w:t>
            </w:r>
          </w:p>
        </w:tc>
      </w:tr>
      <w:tr w:rsidR="00166185" w14:paraId="3C25FDE4" w14:textId="77777777" w:rsidTr="00FF7098">
        <w:trPr>
          <w:jc w:val="center"/>
        </w:trPr>
        <w:tc>
          <w:tcPr>
            <w:tcW w:w="15309" w:type="dxa"/>
          </w:tcPr>
          <w:tbl>
            <w:tblPr>
              <w:tblW w:w="15199" w:type="dxa"/>
              <w:tblLook w:val="04A0" w:firstRow="1" w:lastRow="0" w:firstColumn="1" w:lastColumn="0" w:noHBand="0" w:noVBand="1"/>
            </w:tblPr>
            <w:tblGrid>
              <w:gridCol w:w="417"/>
              <w:gridCol w:w="2060"/>
              <w:gridCol w:w="700"/>
              <w:gridCol w:w="932"/>
              <w:gridCol w:w="567"/>
              <w:gridCol w:w="1168"/>
              <w:gridCol w:w="784"/>
              <w:gridCol w:w="1200"/>
              <w:gridCol w:w="752"/>
              <w:gridCol w:w="1237"/>
              <w:gridCol w:w="582"/>
              <w:gridCol w:w="1237"/>
              <w:gridCol w:w="582"/>
              <w:gridCol w:w="1237"/>
              <w:gridCol w:w="582"/>
              <w:gridCol w:w="1162"/>
            </w:tblGrid>
            <w:tr w:rsidR="00B9388C" w:rsidRPr="00B9388C" w14:paraId="1D0FAFA7" w14:textId="77777777" w:rsidTr="00B9388C">
              <w:trPr>
                <w:trHeight w:val="255"/>
              </w:trPr>
              <w:tc>
                <w:tcPr>
                  <w:tcW w:w="417" w:type="dxa"/>
                  <w:tcBorders>
                    <w:top w:val="single" w:sz="4" w:space="0" w:color="auto"/>
                    <w:left w:val="single" w:sz="4" w:space="0" w:color="auto"/>
                    <w:bottom w:val="single" w:sz="4" w:space="0" w:color="auto"/>
                    <w:right w:val="nil"/>
                  </w:tcBorders>
                  <w:shd w:val="clear" w:color="auto" w:fill="auto"/>
                  <w:noWrap/>
                  <w:vAlign w:val="bottom"/>
                  <w:hideMark/>
                </w:tcPr>
                <w:p w14:paraId="400A0B8A" w14:textId="77777777" w:rsidR="00B9388C" w:rsidRPr="00B9388C" w:rsidRDefault="00B9388C" w:rsidP="00B9388C">
                  <w:pPr>
                    <w:spacing w:after="0" w:line="240" w:lineRule="auto"/>
                    <w:rPr>
                      <w:rFonts w:ascii="Arial" w:eastAsia="Times New Roman" w:hAnsi="Arial" w:cs="Arial"/>
                      <w:szCs w:val="20"/>
                      <w:lang w:eastAsia="en-ZA"/>
                    </w:rPr>
                  </w:pPr>
                  <w:r w:rsidRPr="00B9388C">
                    <w:rPr>
                      <w:rFonts w:ascii="Arial" w:eastAsia="Times New Roman" w:hAnsi="Arial" w:cs="Arial"/>
                      <w:szCs w:val="20"/>
                      <w:lang w:eastAsia="en-ZA"/>
                    </w:rPr>
                    <w:t> </w:t>
                  </w:r>
                </w:p>
              </w:tc>
              <w:tc>
                <w:tcPr>
                  <w:tcW w:w="2060" w:type="dxa"/>
                  <w:tcBorders>
                    <w:top w:val="single" w:sz="4" w:space="0" w:color="auto"/>
                    <w:left w:val="nil"/>
                    <w:bottom w:val="single" w:sz="4" w:space="0" w:color="auto"/>
                    <w:right w:val="single" w:sz="4" w:space="0" w:color="auto"/>
                  </w:tcBorders>
                  <w:shd w:val="clear" w:color="auto" w:fill="auto"/>
                  <w:noWrap/>
                  <w:vAlign w:val="bottom"/>
                  <w:hideMark/>
                </w:tcPr>
                <w:p w14:paraId="5C6970CB" w14:textId="77777777" w:rsidR="00B9388C" w:rsidRPr="00B9388C" w:rsidRDefault="00B9388C" w:rsidP="00B9388C">
                  <w:pPr>
                    <w:spacing w:after="0" w:line="240" w:lineRule="auto"/>
                    <w:rPr>
                      <w:rFonts w:ascii="Arial" w:eastAsia="Times New Roman" w:hAnsi="Arial" w:cs="Arial"/>
                      <w:szCs w:val="20"/>
                      <w:lang w:eastAsia="en-ZA"/>
                    </w:rPr>
                  </w:pPr>
                  <w:r w:rsidRPr="00B9388C">
                    <w:rPr>
                      <w:rFonts w:ascii="Arial" w:eastAsia="Times New Roman" w:hAnsi="Arial" w:cs="Arial"/>
                      <w:szCs w:val="20"/>
                      <w:lang w:eastAsia="en-ZA"/>
                    </w:rPr>
                    <w:t> </w:t>
                  </w:r>
                </w:p>
              </w:tc>
              <w:tc>
                <w:tcPr>
                  <w:tcW w:w="700" w:type="dxa"/>
                  <w:tcBorders>
                    <w:top w:val="single" w:sz="4" w:space="0" w:color="auto"/>
                    <w:left w:val="nil"/>
                    <w:bottom w:val="single" w:sz="4" w:space="0" w:color="auto"/>
                    <w:right w:val="nil"/>
                  </w:tcBorders>
                  <w:shd w:val="clear" w:color="auto" w:fill="auto"/>
                  <w:noWrap/>
                  <w:vAlign w:val="bottom"/>
                  <w:hideMark/>
                </w:tcPr>
                <w:p w14:paraId="54190D6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932" w:type="dxa"/>
                  <w:tcBorders>
                    <w:top w:val="single" w:sz="4" w:space="0" w:color="auto"/>
                    <w:left w:val="nil"/>
                    <w:bottom w:val="single" w:sz="4" w:space="0" w:color="auto"/>
                    <w:right w:val="single" w:sz="4" w:space="0" w:color="auto"/>
                  </w:tcBorders>
                  <w:shd w:val="clear" w:color="auto" w:fill="auto"/>
                  <w:noWrap/>
                  <w:vAlign w:val="bottom"/>
                  <w:hideMark/>
                </w:tcPr>
                <w:p w14:paraId="6024640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5708" w:type="dxa"/>
                  <w:gridSpan w:val="6"/>
                  <w:tcBorders>
                    <w:top w:val="single" w:sz="4" w:space="0" w:color="auto"/>
                    <w:left w:val="nil"/>
                    <w:bottom w:val="single" w:sz="4" w:space="0" w:color="auto"/>
                    <w:right w:val="single" w:sz="4" w:space="0" w:color="000000"/>
                  </w:tcBorders>
                  <w:shd w:val="clear" w:color="auto" w:fill="auto"/>
                  <w:noWrap/>
                  <w:vAlign w:val="bottom"/>
                  <w:hideMark/>
                </w:tcPr>
                <w:p w14:paraId="6F1EA6E0" w14:textId="77777777" w:rsidR="00B9388C" w:rsidRPr="00B9388C" w:rsidRDefault="00B9388C" w:rsidP="00B9388C">
                  <w:pPr>
                    <w:spacing w:after="0" w:line="240" w:lineRule="auto"/>
                    <w:jc w:val="center"/>
                    <w:rPr>
                      <w:rFonts w:ascii="Arial" w:eastAsia="Times New Roman" w:hAnsi="Arial" w:cs="Arial"/>
                      <w:i/>
                      <w:iCs/>
                      <w:sz w:val="18"/>
                      <w:szCs w:val="18"/>
                      <w:lang w:eastAsia="en-ZA"/>
                    </w:rPr>
                  </w:pPr>
                  <w:r w:rsidRPr="00B9388C">
                    <w:rPr>
                      <w:rFonts w:ascii="Arial" w:eastAsia="Times New Roman" w:hAnsi="Arial" w:cs="Arial"/>
                      <w:i/>
                      <w:iCs/>
                      <w:sz w:val="18"/>
                      <w:szCs w:val="18"/>
                      <w:lang w:eastAsia="en-ZA"/>
                    </w:rPr>
                    <w:t>M. paradoxus</w:t>
                  </w:r>
                </w:p>
              </w:tc>
              <w:tc>
                <w:tcPr>
                  <w:tcW w:w="5382" w:type="dxa"/>
                  <w:gridSpan w:val="6"/>
                  <w:tcBorders>
                    <w:top w:val="single" w:sz="4" w:space="0" w:color="auto"/>
                    <w:left w:val="nil"/>
                    <w:bottom w:val="single" w:sz="4" w:space="0" w:color="auto"/>
                    <w:right w:val="single" w:sz="4" w:space="0" w:color="000000"/>
                  </w:tcBorders>
                  <w:shd w:val="clear" w:color="auto" w:fill="auto"/>
                  <w:noWrap/>
                  <w:vAlign w:val="bottom"/>
                  <w:hideMark/>
                </w:tcPr>
                <w:p w14:paraId="05F4D803" w14:textId="77777777" w:rsidR="00B9388C" w:rsidRPr="00B9388C" w:rsidRDefault="00B9388C" w:rsidP="00B9388C">
                  <w:pPr>
                    <w:spacing w:after="0" w:line="240" w:lineRule="auto"/>
                    <w:jc w:val="center"/>
                    <w:rPr>
                      <w:rFonts w:ascii="Arial" w:eastAsia="Times New Roman" w:hAnsi="Arial" w:cs="Arial"/>
                      <w:i/>
                      <w:iCs/>
                      <w:sz w:val="18"/>
                      <w:szCs w:val="18"/>
                      <w:lang w:eastAsia="en-ZA"/>
                    </w:rPr>
                  </w:pPr>
                  <w:r w:rsidRPr="00B9388C">
                    <w:rPr>
                      <w:rFonts w:ascii="Arial" w:eastAsia="Times New Roman" w:hAnsi="Arial" w:cs="Arial"/>
                      <w:i/>
                      <w:iCs/>
                      <w:sz w:val="18"/>
                      <w:szCs w:val="18"/>
                      <w:lang w:eastAsia="en-ZA"/>
                    </w:rPr>
                    <w:t xml:space="preserve">M. </w:t>
                  </w:r>
                  <w:proofErr w:type="spellStart"/>
                  <w:r w:rsidRPr="00B9388C">
                    <w:rPr>
                      <w:rFonts w:ascii="Arial" w:eastAsia="Times New Roman" w:hAnsi="Arial" w:cs="Arial"/>
                      <w:i/>
                      <w:iCs/>
                      <w:sz w:val="18"/>
                      <w:szCs w:val="18"/>
                      <w:lang w:eastAsia="en-ZA"/>
                    </w:rPr>
                    <w:t>capensis</w:t>
                  </w:r>
                  <w:proofErr w:type="spellEnd"/>
                </w:p>
              </w:tc>
            </w:tr>
            <w:tr w:rsidR="00B9388C" w:rsidRPr="00B9388C" w14:paraId="29C8A1E6"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7DD254DC" w14:textId="77777777" w:rsidR="00B9388C" w:rsidRPr="00B9388C" w:rsidRDefault="00B9388C" w:rsidP="00B9388C">
                  <w:pPr>
                    <w:spacing w:after="0" w:line="240" w:lineRule="auto"/>
                    <w:rPr>
                      <w:rFonts w:ascii="Arial" w:eastAsia="Times New Roman" w:hAnsi="Arial" w:cs="Arial"/>
                      <w:szCs w:val="20"/>
                      <w:lang w:eastAsia="en-ZA"/>
                    </w:rPr>
                  </w:pPr>
                  <w:r w:rsidRPr="00B9388C">
                    <w:rPr>
                      <w:rFonts w:ascii="Arial" w:eastAsia="Times New Roman" w:hAnsi="Arial" w:cs="Arial"/>
                      <w:szCs w:val="20"/>
                      <w:lang w:eastAsia="en-ZA"/>
                    </w:rPr>
                    <w:t> </w:t>
                  </w:r>
                </w:p>
              </w:tc>
              <w:tc>
                <w:tcPr>
                  <w:tcW w:w="2060" w:type="dxa"/>
                  <w:tcBorders>
                    <w:top w:val="nil"/>
                    <w:left w:val="nil"/>
                    <w:bottom w:val="nil"/>
                    <w:right w:val="single" w:sz="4" w:space="0" w:color="auto"/>
                  </w:tcBorders>
                  <w:shd w:val="clear" w:color="auto" w:fill="auto"/>
                  <w:noWrap/>
                  <w:vAlign w:val="bottom"/>
                  <w:hideMark/>
                </w:tcPr>
                <w:p w14:paraId="090E68CC" w14:textId="77777777" w:rsidR="00B9388C" w:rsidRPr="00B9388C" w:rsidRDefault="00B9388C" w:rsidP="00B9388C">
                  <w:pPr>
                    <w:spacing w:after="0" w:line="240" w:lineRule="auto"/>
                    <w:rPr>
                      <w:rFonts w:ascii="Arial" w:eastAsia="Times New Roman" w:hAnsi="Arial" w:cs="Arial"/>
                      <w:szCs w:val="20"/>
                      <w:lang w:eastAsia="en-ZA"/>
                    </w:rPr>
                  </w:pPr>
                  <w:r w:rsidRPr="00B9388C">
                    <w:rPr>
                      <w:rFonts w:ascii="Arial" w:eastAsia="Times New Roman" w:hAnsi="Arial" w:cs="Arial"/>
                      <w:szCs w:val="20"/>
                      <w:lang w:eastAsia="en-ZA"/>
                    </w:rPr>
                    <w:t> </w:t>
                  </w:r>
                </w:p>
              </w:tc>
              <w:tc>
                <w:tcPr>
                  <w:tcW w:w="700" w:type="dxa"/>
                  <w:tcBorders>
                    <w:top w:val="nil"/>
                    <w:left w:val="nil"/>
                    <w:bottom w:val="nil"/>
                    <w:right w:val="nil"/>
                  </w:tcBorders>
                  <w:shd w:val="clear" w:color="auto" w:fill="auto"/>
                  <w:noWrap/>
                  <w:vAlign w:val="bottom"/>
                  <w:hideMark/>
                </w:tcPr>
                <w:p w14:paraId="08D70AB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932" w:type="dxa"/>
                  <w:tcBorders>
                    <w:top w:val="nil"/>
                    <w:left w:val="nil"/>
                    <w:bottom w:val="nil"/>
                    <w:right w:val="single" w:sz="4" w:space="0" w:color="auto"/>
                  </w:tcBorders>
                  <w:shd w:val="clear" w:color="auto" w:fill="auto"/>
                  <w:noWrap/>
                  <w:vAlign w:val="bottom"/>
                  <w:hideMark/>
                </w:tcPr>
                <w:p w14:paraId="3CC3CA1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567" w:type="dxa"/>
                  <w:tcBorders>
                    <w:top w:val="nil"/>
                    <w:left w:val="nil"/>
                    <w:bottom w:val="nil"/>
                    <w:right w:val="nil"/>
                  </w:tcBorders>
                  <w:shd w:val="clear" w:color="auto" w:fill="auto"/>
                  <w:noWrap/>
                  <w:vAlign w:val="bottom"/>
                  <w:hideMark/>
                </w:tcPr>
                <w:p w14:paraId="3E2C3DCD"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1168" w:type="dxa"/>
                  <w:tcBorders>
                    <w:top w:val="nil"/>
                    <w:left w:val="nil"/>
                    <w:bottom w:val="nil"/>
                    <w:right w:val="nil"/>
                  </w:tcBorders>
                  <w:shd w:val="clear" w:color="auto" w:fill="auto"/>
                  <w:noWrap/>
                  <w:vAlign w:val="bottom"/>
                  <w:hideMark/>
                </w:tcPr>
                <w:p w14:paraId="424BC7D3" w14:textId="77777777" w:rsidR="00B9388C" w:rsidRPr="00B9388C" w:rsidRDefault="00B9388C" w:rsidP="00B9388C">
                  <w:pPr>
                    <w:spacing w:after="0" w:line="240" w:lineRule="auto"/>
                    <w:jc w:val="center"/>
                    <w:rPr>
                      <w:rFonts w:ascii="Arial" w:eastAsia="Times New Roman" w:hAnsi="Arial" w:cs="Arial"/>
                      <w:sz w:val="18"/>
                      <w:szCs w:val="18"/>
                      <w:lang w:eastAsia="en-ZA"/>
                    </w:rPr>
                  </w:pPr>
                </w:p>
              </w:tc>
              <w:tc>
                <w:tcPr>
                  <w:tcW w:w="784" w:type="dxa"/>
                  <w:tcBorders>
                    <w:top w:val="nil"/>
                    <w:left w:val="nil"/>
                    <w:bottom w:val="nil"/>
                    <w:right w:val="nil"/>
                  </w:tcBorders>
                  <w:shd w:val="clear" w:color="auto" w:fill="auto"/>
                  <w:noWrap/>
                  <w:vAlign w:val="bottom"/>
                  <w:hideMark/>
                </w:tcPr>
                <w:p w14:paraId="703DC822" w14:textId="77777777" w:rsidR="00B9388C" w:rsidRPr="00B9388C" w:rsidRDefault="00B9388C" w:rsidP="00B9388C">
                  <w:pPr>
                    <w:spacing w:after="0" w:line="240" w:lineRule="auto"/>
                    <w:jc w:val="center"/>
                    <w:rPr>
                      <w:rFonts w:ascii="Times New Roman" w:eastAsia="Times New Roman" w:hAnsi="Times New Roman" w:cs="Times New Roman"/>
                      <w:szCs w:val="20"/>
                      <w:lang w:eastAsia="en-ZA"/>
                    </w:rPr>
                  </w:pPr>
                </w:p>
              </w:tc>
              <w:tc>
                <w:tcPr>
                  <w:tcW w:w="1200" w:type="dxa"/>
                  <w:tcBorders>
                    <w:top w:val="nil"/>
                    <w:left w:val="nil"/>
                    <w:bottom w:val="nil"/>
                    <w:right w:val="nil"/>
                  </w:tcBorders>
                  <w:shd w:val="clear" w:color="auto" w:fill="auto"/>
                  <w:noWrap/>
                  <w:vAlign w:val="bottom"/>
                  <w:hideMark/>
                </w:tcPr>
                <w:p w14:paraId="0D33C26E" w14:textId="77777777" w:rsidR="00B9388C" w:rsidRPr="00B9388C" w:rsidRDefault="00B9388C" w:rsidP="00B9388C">
                  <w:pPr>
                    <w:spacing w:after="0" w:line="240" w:lineRule="auto"/>
                    <w:jc w:val="center"/>
                    <w:rPr>
                      <w:rFonts w:ascii="Times New Roman" w:eastAsia="Times New Roman" w:hAnsi="Times New Roman" w:cs="Times New Roman"/>
                      <w:szCs w:val="20"/>
                      <w:lang w:eastAsia="en-ZA"/>
                    </w:rPr>
                  </w:pPr>
                </w:p>
              </w:tc>
              <w:tc>
                <w:tcPr>
                  <w:tcW w:w="752" w:type="dxa"/>
                  <w:tcBorders>
                    <w:top w:val="nil"/>
                    <w:left w:val="nil"/>
                    <w:bottom w:val="nil"/>
                    <w:right w:val="nil"/>
                  </w:tcBorders>
                  <w:shd w:val="clear" w:color="auto" w:fill="auto"/>
                  <w:noWrap/>
                  <w:vAlign w:val="bottom"/>
                  <w:hideMark/>
                </w:tcPr>
                <w:p w14:paraId="15B6B607" w14:textId="77777777" w:rsidR="00B9388C" w:rsidRPr="00B9388C" w:rsidRDefault="00B9388C" w:rsidP="00B9388C">
                  <w:pPr>
                    <w:spacing w:after="0" w:line="240" w:lineRule="auto"/>
                    <w:jc w:val="center"/>
                    <w:rPr>
                      <w:rFonts w:ascii="Times New Roman" w:eastAsia="Times New Roman" w:hAnsi="Times New Roman" w:cs="Times New Roman"/>
                      <w:szCs w:val="20"/>
                      <w:lang w:eastAsia="en-ZA"/>
                    </w:rPr>
                  </w:pPr>
                </w:p>
              </w:tc>
              <w:tc>
                <w:tcPr>
                  <w:tcW w:w="1237" w:type="dxa"/>
                  <w:tcBorders>
                    <w:top w:val="nil"/>
                    <w:left w:val="nil"/>
                    <w:bottom w:val="nil"/>
                    <w:right w:val="single" w:sz="4" w:space="0" w:color="auto"/>
                  </w:tcBorders>
                  <w:shd w:val="clear" w:color="auto" w:fill="auto"/>
                  <w:noWrap/>
                  <w:vAlign w:val="bottom"/>
                  <w:hideMark/>
                </w:tcPr>
                <w:p w14:paraId="1D71E9A3"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582" w:type="dxa"/>
                  <w:tcBorders>
                    <w:top w:val="nil"/>
                    <w:left w:val="nil"/>
                    <w:bottom w:val="nil"/>
                    <w:right w:val="nil"/>
                  </w:tcBorders>
                  <w:shd w:val="clear" w:color="auto" w:fill="auto"/>
                  <w:noWrap/>
                  <w:vAlign w:val="bottom"/>
                  <w:hideMark/>
                </w:tcPr>
                <w:p w14:paraId="361CC372"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1237" w:type="dxa"/>
                  <w:tcBorders>
                    <w:top w:val="nil"/>
                    <w:left w:val="nil"/>
                    <w:bottom w:val="nil"/>
                    <w:right w:val="nil"/>
                  </w:tcBorders>
                  <w:shd w:val="clear" w:color="auto" w:fill="auto"/>
                  <w:noWrap/>
                  <w:vAlign w:val="bottom"/>
                  <w:hideMark/>
                </w:tcPr>
                <w:p w14:paraId="0882ACDB" w14:textId="77777777" w:rsidR="00B9388C" w:rsidRPr="00B9388C" w:rsidRDefault="00B9388C" w:rsidP="00B9388C">
                  <w:pPr>
                    <w:spacing w:after="0" w:line="240" w:lineRule="auto"/>
                    <w:jc w:val="center"/>
                    <w:rPr>
                      <w:rFonts w:ascii="Arial" w:eastAsia="Times New Roman" w:hAnsi="Arial" w:cs="Arial"/>
                      <w:sz w:val="18"/>
                      <w:szCs w:val="18"/>
                      <w:lang w:eastAsia="en-ZA"/>
                    </w:rPr>
                  </w:pPr>
                </w:p>
              </w:tc>
              <w:tc>
                <w:tcPr>
                  <w:tcW w:w="582" w:type="dxa"/>
                  <w:tcBorders>
                    <w:top w:val="nil"/>
                    <w:left w:val="nil"/>
                    <w:bottom w:val="nil"/>
                    <w:right w:val="nil"/>
                  </w:tcBorders>
                  <w:shd w:val="clear" w:color="auto" w:fill="auto"/>
                  <w:noWrap/>
                  <w:vAlign w:val="bottom"/>
                  <w:hideMark/>
                </w:tcPr>
                <w:p w14:paraId="182E0921" w14:textId="77777777" w:rsidR="00B9388C" w:rsidRPr="00B9388C" w:rsidRDefault="00B9388C" w:rsidP="00B9388C">
                  <w:pPr>
                    <w:spacing w:after="0" w:line="240" w:lineRule="auto"/>
                    <w:jc w:val="center"/>
                    <w:rPr>
                      <w:rFonts w:ascii="Times New Roman" w:eastAsia="Times New Roman" w:hAnsi="Times New Roman" w:cs="Times New Roman"/>
                      <w:szCs w:val="20"/>
                      <w:lang w:eastAsia="en-ZA"/>
                    </w:rPr>
                  </w:pPr>
                </w:p>
              </w:tc>
              <w:tc>
                <w:tcPr>
                  <w:tcW w:w="1237" w:type="dxa"/>
                  <w:tcBorders>
                    <w:top w:val="nil"/>
                    <w:left w:val="nil"/>
                    <w:bottom w:val="nil"/>
                    <w:right w:val="nil"/>
                  </w:tcBorders>
                  <w:shd w:val="clear" w:color="auto" w:fill="auto"/>
                  <w:noWrap/>
                  <w:vAlign w:val="bottom"/>
                  <w:hideMark/>
                </w:tcPr>
                <w:p w14:paraId="3920F9FA" w14:textId="77777777" w:rsidR="00B9388C" w:rsidRPr="00B9388C" w:rsidRDefault="00B9388C" w:rsidP="00B9388C">
                  <w:pPr>
                    <w:spacing w:after="0" w:line="240" w:lineRule="auto"/>
                    <w:jc w:val="center"/>
                    <w:rPr>
                      <w:rFonts w:ascii="Times New Roman" w:eastAsia="Times New Roman" w:hAnsi="Times New Roman" w:cs="Times New Roman"/>
                      <w:szCs w:val="20"/>
                      <w:lang w:eastAsia="en-ZA"/>
                    </w:rPr>
                  </w:pPr>
                </w:p>
              </w:tc>
              <w:tc>
                <w:tcPr>
                  <w:tcW w:w="582" w:type="dxa"/>
                  <w:tcBorders>
                    <w:top w:val="nil"/>
                    <w:left w:val="nil"/>
                    <w:bottom w:val="nil"/>
                    <w:right w:val="nil"/>
                  </w:tcBorders>
                  <w:shd w:val="clear" w:color="auto" w:fill="auto"/>
                  <w:noWrap/>
                  <w:vAlign w:val="bottom"/>
                  <w:hideMark/>
                </w:tcPr>
                <w:p w14:paraId="4122AE22" w14:textId="77777777" w:rsidR="00B9388C" w:rsidRPr="00B9388C" w:rsidRDefault="00B9388C" w:rsidP="00B9388C">
                  <w:pPr>
                    <w:spacing w:after="0" w:line="240" w:lineRule="auto"/>
                    <w:jc w:val="center"/>
                    <w:rPr>
                      <w:rFonts w:ascii="Times New Roman" w:eastAsia="Times New Roman" w:hAnsi="Times New Roman" w:cs="Times New Roman"/>
                      <w:szCs w:val="20"/>
                      <w:lang w:eastAsia="en-ZA"/>
                    </w:rPr>
                  </w:pPr>
                </w:p>
              </w:tc>
              <w:tc>
                <w:tcPr>
                  <w:tcW w:w="1162" w:type="dxa"/>
                  <w:tcBorders>
                    <w:top w:val="nil"/>
                    <w:left w:val="nil"/>
                    <w:bottom w:val="nil"/>
                    <w:right w:val="single" w:sz="4" w:space="0" w:color="auto"/>
                  </w:tcBorders>
                  <w:shd w:val="clear" w:color="auto" w:fill="auto"/>
                  <w:noWrap/>
                  <w:vAlign w:val="bottom"/>
                  <w:hideMark/>
                </w:tcPr>
                <w:p w14:paraId="6A7F1EAC"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r>
            <w:tr w:rsidR="00B9388C" w:rsidRPr="00B9388C" w14:paraId="59401B1A" w14:textId="77777777" w:rsidTr="00B9388C">
              <w:trPr>
                <w:trHeight w:val="270"/>
              </w:trPr>
              <w:tc>
                <w:tcPr>
                  <w:tcW w:w="417" w:type="dxa"/>
                  <w:tcBorders>
                    <w:top w:val="nil"/>
                    <w:left w:val="single" w:sz="4" w:space="0" w:color="auto"/>
                    <w:bottom w:val="nil"/>
                    <w:right w:val="nil"/>
                  </w:tcBorders>
                  <w:shd w:val="clear" w:color="auto" w:fill="auto"/>
                  <w:noWrap/>
                  <w:vAlign w:val="bottom"/>
                  <w:hideMark/>
                </w:tcPr>
                <w:p w14:paraId="10F7C03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2060" w:type="dxa"/>
                  <w:tcBorders>
                    <w:top w:val="nil"/>
                    <w:left w:val="nil"/>
                    <w:bottom w:val="nil"/>
                    <w:right w:val="single" w:sz="4" w:space="0" w:color="auto"/>
                  </w:tcBorders>
                  <w:shd w:val="clear" w:color="auto" w:fill="auto"/>
                  <w:noWrap/>
                  <w:vAlign w:val="bottom"/>
                  <w:hideMark/>
                </w:tcPr>
                <w:p w14:paraId="0B9682C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700" w:type="dxa"/>
                  <w:tcBorders>
                    <w:top w:val="nil"/>
                    <w:left w:val="nil"/>
                    <w:bottom w:val="nil"/>
                    <w:right w:val="nil"/>
                  </w:tcBorders>
                  <w:shd w:val="clear" w:color="auto" w:fill="auto"/>
                  <w:noWrap/>
                  <w:vAlign w:val="center"/>
                  <w:hideMark/>
                </w:tcPr>
                <w:p w14:paraId="2824FDD7"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Cap</w:t>
                  </w:r>
                </w:p>
              </w:tc>
              <w:tc>
                <w:tcPr>
                  <w:tcW w:w="932" w:type="dxa"/>
                  <w:tcBorders>
                    <w:top w:val="nil"/>
                    <w:left w:val="nil"/>
                    <w:bottom w:val="nil"/>
                    <w:right w:val="single" w:sz="4" w:space="0" w:color="auto"/>
                  </w:tcBorders>
                  <w:shd w:val="clear" w:color="auto" w:fill="auto"/>
                  <w:noWrap/>
                  <w:vAlign w:val="center"/>
                  <w:hideMark/>
                </w:tcPr>
                <w:p w14:paraId="2E2AF540"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p>
              </w:tc>
              <w:tc>
                <w:tcPr>
                  <w:tcW w:w="1735" w:type="dxa"/>
                  <w:gridSpan w:val="2"/>
                  <w:tcBorders>
                    <w:top w:val="nil"/>
                    <w:left w:val="nil"/>
                    <w:bottom w:val="nil"/>
                    <w:right w:val="nil"/>
                  </w:tcBorders>
                  <w:shd w:val="clear" w:color="auto" w:fill="auto"/>
                  <w:noWrap/>
                  <w:vAlign w:val="bottom"/>
                  <w:hideMark/>
                </w:tcPr>
                <w:p w14:paraId="410F716A"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2042</w:t>
                  </w: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MSY</w:t>
                  </w:r>
                </w:p>
              </w:tc>
              <w:tc>
                <w:tcPr>
                  <w:tcW w:w="1984" w:type="dxa"/>
                  <w:gridSpan w:val="2"/>
                  <w:tcBorders>
                    <w:top w:val="nil"/>
                    <w:left w:val="nil"/>
                    <w:bottom w:val="nil"/>
                    <w:right w:val="nil"/>
                  </w:tcBorders>
                  <w:shd w:val="clear" w:color="auto" w:fill="auto"/>
                  <w:noWrap/>
                  <w:vAlign w:val="bottom"/>
                  <w:hideMark/>
                </w:tcPr>
                <w:p w14:paraId="087ECF32"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2022</w:t>
                  </w: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MSY</w:t>
                  </w:r>
                </w:p>
              </w:tc>
              <w:tc>
                <w:tcPr>
                  <w:tcW w:w="1989" w:type="dxa"/>
                  <w:gridSpan w:val="2"/>
                  <w:tcBorders>
                    <w:top w:val="nil"/>
                    <w:left w:val="nil"/>
                    <w:bottom w:val="nil"/>
                    <w:right w:val="single" w:sz="4" w:space="0" w:color="000000"/>
                  </w:tcBorders>
                  <w:shd w:val="clear" w:color="auto" w:fill="auto"/>
                  <w:noWrap/>
                  <w:vAlign w:val="bottom"/>
                  <w:hideMark/>
                </w:tcPr>
                <w:p w14:paraId="03DF62EC"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low</w:t>
                  </w: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MSY</w:t>
                  </w:r>
                </w:p>
              </w:tc>
              <w:tc>
                <w:tcPr>
                  <w:tcW w:w="1819" w:type="dxa"/>
                  <w:gridSpan w:val="2"/>
                  <w:tcBorders>
                    <w:top w:val="nil"/>
                    <w:left w:val="nil"/>
                    <w:bottom w:val="nil"/>
                    <w:right w:val="nil"/>
                  </w:tcBorders>
                  <w:shd w:val="clear" w:color="auto" w:fill="auto"/>
                  <w:noWrap/>
                  <w:vAlign w:val="bottom"/>
                  <w:hideMark/>
                </w:tcPr>
                <w:p w14:paraId="2BE29C3A"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2042</w:t>
                  </w: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MSY</w:t>
                  </w:r>
                </w:p>
              </w:tc>
              <w:tc>
                <w:tcPr>
                  <w:tcW w:w="1819" w:type="dxa"/>
                  <w:gridSpan w:val="2"/>
                  <w:tcBorders>
                    <w:top w:val="nil"/>
                    <w:left w:val="nil"/>
                    <w:bottom w:val="nil"/>
                    <w:right w:val="nil"/>
                  </w:tcBorders>
                  <w:shd w:val="clear" w:color="auto" w:fill="auto"/>
                  <w:noWrap/>
                  <w:vAlign w:val="bottom"/>
                  <w:hideMark/>
                </w:tcPr>
                <w:p w14:paraId="2F902228"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2022</w:t>
                  </w: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MSY</w:t>
                  </w:r>
                </w:p>
              </w:tc>
              <w:tc>
                <w:tcPr>
                  <w:tcW w:w="1744" w:type="dxa"/>
                  <w:gridSpan w:val="2"/>
                  <w:tcBorders>
                    <w:top w:val="nil"/>
                    <w:left w:val="nil"/>
                    <w:bottom w:val="nil"/>
                    <w:right w:val="single" w:sz="4" w:space="0" w:color="000000"/>
                  </w:tcBorders>
                  <w:shd w:val="clear" w:color="auto" w:fill="auto"/>
                  <w:noWrap/>
                  <w:vAlign w:val="bottom"/>
                  <w:hideMark/>
                </w:tcPr>
                <w:p w14:paraId="477B1E24"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low</w:t>
                  </w:r>
                  <w:r w:rsidRPr="00B9388C">
                    <w:rPr>
                      <w:rFonts w:ascii="Arial" w:eastAsia="Times New Roman" w:hAnsi="Arial" w:cs="Arial"/>
                      <w:sz w:val="18"/>
                      <w:szCs w:val="18"/>
                      <w:lang w:eastAsia="en-ZA"/>
                    </w:rPr>
                    <w:t>/B</w:t>
                  </w:r>
                  <w:r w:rsidRPr="00B9388C">
                    <w:rPr>
                      <w:rFonts w:ascii="Arial" w:eastAsia="Times New Roman" w:hAnsi="Arial" w:cs="Arial"/>
                      <w:sz w:val="18"/>
                      <w:szCs w:val="18"/>
                      <w:vertAlign w:val="subscript"/>
                      <w:lang w:eastAsia="en-ZA"/>
                    </w:rPr>
                    <w:t>MSY</w:t>
                  </w:r>
                </w:p>
              </w:tc>
            </w:tr>
            <w:tr w:rsidR="00B9388C" w:rsidRPr="00B9388C" w14:paraId="78BFD8B5" w14:textId="77777777" w:rsidTr="00B9388C">
              <w:trPr>
                <w:trHeight w:val="255"/>
              </w:trPr>
              <w:tc>
                <w:tcPr>
                  <w:tcW w:w="15199" w:type="dxa"/>
                  <w:gridSpan w:val="16"/>
                  <w:tcBorders>
                    <w:top w:val="single" w:sz="4" w:space="0" w:color="auto"/>
                    <w:left w:val="single" w:sz="4" w:space="0" w:color="auto"/>
                    <w:bottom w:val="single" w:sz="4" w:space="0" w:color="auto"/>
                    <w:right w:val="single" w:sz="4" w:space="0" w:color="000000"/>
                  </w:tcBorders>
                  <w:shd w:val="clear" w:color="000000" w:fill="A6A6A6"/>
                  <w:noWrap/>
                  <w:vAlign w:val="bottom"/>
                  <w:hideMark/>
                </w:tcPr>
                <w:p w14:paraId="0B5C8DFD"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Equal weighting across the nine RS OMs</w:t>
                  </w:r>
                </w:p>
              </w:tc>
            </w:tr>
            <w:tr w:rsidR="00B9388C" w:rsidRPr="00B9388C" w14:paraId="0116A3D4" w14:textId="77777777" w:rsidTr="00B9388C">
              <w:trPr>
                <w:trHeight w:val="255"/>
              </w:trPr>
              <w:tc>
                <w:tcPr>
                  <w:tcW w:w="417" w:type="dxa"/>
                  <w:tcBorders>
                    <w:top w:val="nil"/>
                    <w:left w:val="single" w:sz="4" w:space="0" w:color="auto"/>
                    <w:bottom w:val="single" w:sz="4" w:space="0" w:color="auto"/>
                    <w:right w:val="nil"/>
                  </w:tcBorders>
                  <w:shd w:val="clear" w:color="auto" w:fill="auto"/>
                  <w:noWrap/>
                  <w:vAlign w:val="bottom"/>
                  <w:hideMark/>
                </w:tcPr>
                <w:p w14:paraId="47F52E4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2060" w:type="dxa"/>
                  <w:tcBorders>
                    <w:top w:val="nil"/>
                    <w:left w:val="nil"/>
                    <w:bottom w:val="single" w:sz="4" w:space="0" w:color="auto"/>
                    <w:right w:val="single" w:sz="4" w:space="0" w:color="auto"/>
                  </w:tcBorders>
                  <w:shd w:val="clear" w:color="auto" w:fill="auto"/>
                  <w:noWrap/>
                  <w:vAlign w:val="bottom"/>
                  <w:hideMark/>
                </w:tcPr>
                <w:p w14:paraId="23FD245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Proposed OMP2018</w:t>
                  </w:r>
                </w:p>
              </w:tc>
              <w:tc>
                <w:tcPr>
                  <w:tcW w:w="700" w:type="dxa"/>
                  <w:tcBorders>
                    <w:top w:val="nil"/>
                    <w:left w:val="nil"/>
                    <w:bottom w:val="nil"/>
                    <w:right w:val="nil"/>
                  </w:tcBorders>
                  <w:shd w:val="clear" w:color="auto" w:fill="auto"/>
                  <w:noWrap/>
                  <w:vAlign w:val="center"/>
                  <w:hideMark/>
                </w:tcPr>
                <w:p w14:paraId="416839E8"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160</w:t>
                  </w:r>
                </w:p>
              </w:tc>
              <w:tc>
                <w:tcPr>
                  <w:tcW w:w="932" w:type="dxa"/>
                  <w:tcBorders>
                    <w:top w:val="nil"/>
                    <w:left w:val="nil"/>
                    <w:bottom w:val="nil"/>
                    <w:right w:val="single" w:sz="4" w:space="0" w:color="auto"/>
                  </w:tcBorders>
                  <w:shd w:val="clear" w:color="auto" w:fill="auto"/>
                  <w:noWrap/>
                  <w:vAlign w:val="center"/>
                  <w:hideMark/>
                </w:tcPr>
                <w:p w14:paraId="56824F5F"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602BE46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2.67</w:t>
                  </w:r>
                </w:p>
              </w:tc>
              <w:tc>
                <w:tcPr>
                  <w:tcW w:w="1168" w:type="dxa"/>
                  <w:tcBorders>
                    <w:top w:val="nil"/>
                    <w:left w:val="nil"/>
                    <w:bottom w:val="nil"/>
                    <w:right w:val="nil"/>
                  </w:tcBorders>
                  <w:shd w:val="clear" w:color="auto" w:fill="auto"/>
                  <w:noWrap/>
                  <w:vAlign w:val="bottom"/>
                  <w:hideMark/>
                </w:tcPr>
                <w:p w14:paraId="0EE604A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(1.37,4.81)</w:t>
                  </w:r>
                </w:p>
              </w:tc>
              <w:tc>
                <w:tcPr>
                  <w:tcW w:w="784" w:type="dxa"/>
                  <w:tcBorders>
                    <w:top w:val="nil"/>
                    <w:left w:val="nil"/>
                    <w:bottom w:val="nil"/>
                    <w:right w:val="nil"/>
                  </w:tcBorders>
                  <w:shd w:val="clear" w:color="auto" w:fill="auto"/>
                  <w:noWrap/>
                  <w:vAlign w:val="bottom"/>
                  <w:hideMark/>
                </w:tcPr>
                <w:p w14:paraId="294E691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2.10</w:t>
                  </w:r>
                </w:p>
              </w:tc>
              <w:tc>
                <w:tcPr>
                  <w:tcW w:w="1200" w:type="dxa"/>
                  <w:tcBorders>
                    <w:top w:val="nil"/>
                    <w:left w:val="nil"/>
                    <w:bottom w:val="nil"/>
                    <w:right w:val="nil"/>
                  </w:tcBorders>
                  <w:shd w:val="clear" w:color="auto" w:fill="auto"/>
                  <w:noWrap/>
                  <w:vAlign w:val="bottom"/>
                  <w:hideMark/>
                </w:tcPr>
                <w:p w14:paraId="4021938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(1.01,3.43)</w:t>
                  </w:r>
                </w:p>
              </w:tc>
              <w:tc>
                <w:tcPr>
                  <w:tcW w:w="752" w:type="dxa"/>
                  <w:tcBorders>
                    <w:top w:val="nil"/>
                    <w:left w:val="nil"/>
                    <w:bottom w:val="nil"/>
                    <w:right w:val="nil"/>
                  </w:tcBorders>
                  <w:shd w:val="clear" w:color="auto" w:fill="auto"/>
                  <w:noWrap/>
                  <w:vAlign w:val="bottom"/>
                  <w:hideMark/>
                </w:tcPr>
                <w:p w14:paraId="63269B6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1.47</w:t>
                  </w:r>
                </w:p>
              </w:tc>
              <w:tc>
                <w:tcPr>
                  <w:tcW w:w="1237" w:type="dxa"/>
                  <w:tcBorders>
                    <w:top w:val="nil"/>
                    <w:left w:val="nil"/>
                    <w:bottom w:val="nil"/>
                    <w:right w:val="nil"/>
                  </w:tcBorders>
                  <w:shd w:val="clear" w:color="auto" w:fill="auto"/>
                  <w:noWrap/>
                  <w:vAlign w:val="bottom"/>
                  <w:hideMark/>
                </w:tcPr>
                <w:p w14:paraId="5B23CE8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(0.90,2.15)</w:t>
                  </w:r>
                </w:p>
              </w:tc>
              <w:tc>
                <w:tcPr>
                  <w:tcW w:w="582" w:type="dxa"/>
                  <w:tcBorders>
                    <w:top w:val="nil"/>
                    <w:left w:val="single" w:sz="4" w:space="0" w:color="auto"/>
                    <w:bottom w:val="nil"/>
                    <w:right w:val="nil"/>
                  </w:tcBorders>
                  <w:shd w:val="clear" w:color="auto" w:fill="auto"/>
                  <w:noWrap/>
                  <w:vAlign w:val="bottom"/>
                  <w:hideMark/>
                </w:tcPr>
                <w:p w14:paraId="07B7C9C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3.01</w:t>
                  </w:r>
                </w:p>
              </w:tc>
              <w:tc>
                <w:tcPr>
                  <w:tcW w:w="1237" w:type="dxa"/>
                  <w:tcBorders>
                    <w:top w:val="nil"/>
                    <w:left w:val="nil"/>
                    <w:bottom w:val="nil"/>
                    <w:right w:val="nil"/>
                  </w:tcBorders>
                  <w:shd w:val="clear" w:color="auto" w:fill="auto"/>
                  <w:noWrap/>
                  <w:vAlign w:val="bottom"/>
                  <w:hideMark/>
                </w:tcPr>
                <w:p w14:paraId="30C5510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(0.91,6.70)</w:t>
                  </w:r>
                </w:p>
              </w:tc>
              <w:tc>
                <w:tcPr>
                  <w:tcW w:w="582" w:type="dxa"/>
                  <w:tcBorders>
                    <w:top w:val="nil"/>
                    <w:left w:val="nil"/>
                    <w:bottom w:val="nil"/>
                    <w:right w:val="nil"/>
                  </w:tcBorders>
                  <w:shd w:val="clear" w:color="auto" w:fill="auto"/>
                  <w:noWrap/>
                  <w:vAlign w:val="bottom"/>
                  <w:hideMark/>
                </w:tcPr>
                <w:p w14:paraId="1CC2630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2.94</w:t>
                  </w:r>
                </w:p>
              </w:tc>
              <w:tc>
                <w:tcPr>
                  <w:tcW w:w="1237" w:type="dxa"/>
                  <w:tcBorders>
                    <w:top w:val="nil"/>
                    <w:left w:val="nil"/>
                    <w:bottom w:val="nil"/>
                    <w:right w:val="nil"/>
                  </w:tcBorders>
                  <w:shd w:val="clear" w:color="auto" w:fill="auto"/>
                  <w:noWrap/>
                  <w:vAlign w:val="bottom"/>
                  <w:hideMark/>
                </w:tcPr>
                <w:p w14:paraId="685E6D3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(0.39,5.18)</w:t>
                  </w:r>
                </w:p>
              </w:tc>
              <w:tc>
                <w:tcPr>
                  <w:tcW w:w="582" w:type="dxa"/>
                  <w:tcBorders>
                    <w:top w:val="nil"/>
                    <w:left w:val="nil"/>
                    <w:bottom w:val="nil"/>
                    <w:right w:val="nil"/>
                  </w:tcBorders>
                  <w:shd w:val="clear" w:color="auto" w:fill="auto"/>
                  <w:noWrap/>
                  <w:vAlign w:val="bottom"/>
                  <w:hideMark/>
                </w:tcPr>
                <w:p w14:paraId="0991D1F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2.40</w:t>
                  </w:r>
                </w:p>
              </w:tc>
              <w:tc>
                <w:tcPr>
                  <w:tcW w:w="1162" w:type="dxa"/>
                  <w:tcBorders>
                    <w:top w:val="nil"/>
                    <w:left w:val="nil"/>
                    <w:bottom w:val="nil"/>
                    <w:right w:val="single" w:sz="4" w:space="0" w:color="auto"/>
                  </w:tcBorders>
                  <w:shd w:val="clear" w:color="auto" w:fill="auto"/>
                  <w:noWrap/>
                  <w:vAlign w:val="bottom"/>
                  <w:hideMark/>
                </w:tcPr>
                <w:p w14:paraId="3A30E6E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(0.32,4.52) </w:t>
                  </w:r>
                </w:p>
              </w:tc>
            </w:tr>
            <w:tr w:rsidR="00B9388C" w:rsidRPr="00B9388C" w14:paraId="4467AD19" w14:textId="77777777" w:rsidTr="00B9388C">
              <w:trPr>
                <w:trHeight w:val="255"/>
              </w:trPr>
              <w:tc>
                <w:tcPr>
                  <w:tcW w:w="15199" w:type="dxa"/>
                  <w:gridSpan w:val="16"/>
                  <w:tcBorders>
                    <w:top w:val="single" w:sz="4" w:space="0" w:color="auto"/>
                    <w:left w:val="single" w:sz="4" w:space="0" w:color="auto"/>
                    <w:bottom w:val="single" w:sz="4" w:space="0" w:color="auto"/>
                    <w:right w:val="single" w:sz="4" w:space="0" w:color="000000"/>
                  </w:tcBorders>
                  <w:shd w:val="clear" w:color="000000" w:fill="A6A6A6"/>
                  <w:noWrap/>
                  <w:vAlign w:val="bottom"/>
                  <w:hideMark/>
                </w:tcPr>
                <w:p w14:paraId="5C97BE2D"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Robustness test results for RS02 only</w:t>
                  </w:r>
                </w:p>
              </w:tc>
            </w:tr>
            <w:tr w:rsidR="00B9388C" w:rsidRPr="00B9388C" w14:paraId="24EDD3BE" w14:textId="77777777" w:rsidTr="00B9388C">
              <w:trPr>
                <w:trHeight w:val="240"/>
              </w:trPr>
              <w:tc>
                <w:tcPr>
                  <w:tcW w:w="417" w:type="dxa"/>
                  <w:tcBorders>
                    <w:top w:val="nil"/>
                    <w:left w:val="single" w:sz="4" w:space="0" w:color="auto"/>
                    <w:bottom w:val="nil"/>
                    <w:right w:val="nil"/>
                  </w:tcBorders>
                  <w:shd w:val="clear" w:color="auto" w:fill="auto"/>
                  <w:noWrap/>
                  <w:vAlign w:val="bottom"/>
                  <w:hideMark/>
                </w:tcPr>
                <w:p w14:paraId="58687AD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w:t>
                  </w:r>
                </w:p>
              </w:tc>
              <w:tc>
                <w:tcPr>
                  <w:tcW w:w="2060" w:type="dxa"/>
                  <w:tcBorders>
                    <w:top w:val="nil"/>
                    <w:left w:val="nil"/>
                    <w:bottom w:val="nil"/>
                    <w:right w:val="single" w:sz="4" w:space="0" w:color="auto"/>
                  </w:tcBorders>
                  <w:shd w:val="clear" w:color="auto" w:fill="auto"/>
                  <w:noWrap/>
                  <w:vAlign w:val="bottom"/>
                  <w:hideMark/>
                </w:tcPr>
                <w:p w14:paraId="3B3D4D0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RC</w:t>
                  </w:r>
                </w:p>
              </w:tc>
              <w:tc>
                <w:tcPr>
                  <w:tcW w:w="700" w:type="dxa"/>
                  <w:tcBorders>
                    <w:top w:val="nil"/>
                    <w:left w:val="nil"/>
                    <w:bottom w:val="nil"/>
                    <w:right w:val="nil"/>
                  </w:tcBorders>
                  <w:shd w:val="clear" w:color="auto" w:fill="auto"/>
                  <w:noWrap/>
                  <w:vAlign w:val="center"/>
                  <w:hideMark/>
                </w:tcPr>
                <w:p w14:paraId="39C07429"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160</w:t>
                  </w:r>
                </w:p>
              </w:tc>
              <w:tc>
                <w:tcPr>
                  <w:tcW w:w="932" w:type="dxa"/>
                  <w:tcBorders>
                    <w:top w:val="nil"/>
                    <w:left w:val="nil"/>
                    <w:bottom w:val="nil"/>
                    <w:right w:val="single" w:sz="4" w:space="0" w:color="auto"/>
                  </w:tcBorders>
                  <w:shd w:val="clear" w:color="auto" w:fill="auto"/>
                  <w:noWrap/>
                  <w:vAlign w:val="bottom"/>
                  <w:hideMark/>
                </w:tcPr>
                <w:p w14:paraId="27351D57"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3BB3614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2.24</w:t>
                  </w:r>
                </w:p>
              </w:tc>
              <w:tc>
                <w:tcPr>
                  <w:tcW w:w="1168" w:type="dxa"/>
                  <w:tcBorders>
                    <w:top w:val="nil"/>
                    <w:left w:val="nil"/>
                    <w:bottom w:val="nil"/>
                    <w:right w:val="nil"/>
                  </w:tcBorders>
                  <w:shd w:val="clear" w:color="auto" w:fill="auto"/>
                  <w:noWrap/>
                  <w:vAlign w:val="bottom"/>
                  <w:hideMark/>
                </w:tcPr>
                <w:p w14:paraId="6BA7D65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(1.21,3.70)</w:t>
                  </w:r>
                </w:p>
              </w:tc>
              <w:tc>
                <w:tcPr>
                  <w:tcW w:w="784" w:type="dxa"/>
                  <w:tcBorders>
                    <w:top w:val="nil"/>
                    <w:left w:val="nil"/>
                    <w:bottom w:val="nil"/>
                    <w:right w:val="nil"/>
                  </w:tcBorders>
                  <w:shd w:val="clear" w:color="auto" w:fill="auto"/>
                  <w:noWrap/>
                  <w:vAlign w:val="bottom"/>
                  <w:hideMark/>
                </w:tcPr>
                <w:p w14:paraId="20D73AA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2.24</w:t>
                  </w:r>
                </w:p>
              </w:tc>
              <w:tc>
                <w:tcPr>
                  <w:tcW w:w="1200" w:type="dxa"/>
                  <w:tcBorders>
                    <w:top w:val="nil"/>
                    <w:left w:val="nil"/>
                    <w:bottom w:val="nil"/>
                    <w:right w:val="nil"/>
                  </w:tcBorders>
                  <w:shd w:val="clear" w:color="auto" w:fill="auto"/>
                  <w:noWrap/>
                  <w:vAlign w:val="bottom"/>
                  <w:hideMark/>
                </w:tcPr>
                <w:p w14:paraId="7BF2BB9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(1.24,3.61)</w:t>
                  </w:r>
                </w:p>
              </w:tc>
              <w:tc>
                <w:tcPr>
                  <w:tcW w:w="752" w:type="dxa"/>
                  <w:tcBorders>
                    <w:top w:val="nil"/>
                    <w:left w:val="nil"/>
                    <w:bottom w:val="nil"/>
                    <w:right w:val="nil"/>
                  </w:tcBorders>
                  <w:shd w:val="clear" w:color="auto" w:fill="auto"/>
                  <w:noWrap/>
                  <w:vAlign w:val="bottom"/>
                  <w:hideMark/>
                </w:tcPr>
                <w:p w14:paraId="2A145BC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1.39</w:t>
                  </w:r>
                </w:p>
              </w:tc>
              <w:tc>
                <w:tcPr>
                  <w:tcW w:w="1237" w:type="dxa"/>
                  <w:tcBorders>
                    <w:top w:val="nil"/>
                    <w:left w:val="nil"/>
                    <w:bottom w:val="nil"/>
                    <w:right w:val="nil"/>
                  </w:tcBorders>
                  <w:shd w:val="clear" w:color="auto" w:fill="auto"/>
                  <w:noWrap/>
                  <w:vAlign w:val="bottom"/>
                  <w:hideMark/>
                </w:tcPr>
                <w:p w14:paraId="6A1221A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(0.97,1.93)</w:t>
                  </w:r>
                </w:p>
              </w:tc>
              <w:tc>
                <w:tcPr>
                  <w:tcW w:w="582" w:type="dxa"/>
                  <w:tcBorders>
                    <w:top w:val="nil"/>
                    <w:left w:val="single" w:sz="4" w:space="0" w:color="auto"/>
                    <w:bottom w:val="nil"/>
                    <w:right w:val="nil"/>
                  </w:tcBorders>
                  <w:shd w:val="clear" w:color="auto" w:fill="auto"/>
                  <w:noWrap/>
                  <w:vAlign w:val="bottom"/>
                  <w:hideMark/>
                </w:tcPr>
                <w:p w14:paraId="54A1281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2.73</w:t>
                  </w:r>
                </w:p>
              </w:tc>
              <w:tc>
                <w:tcPr>
                  <w:tcW w:w="1237" w:type="dxa"/>
                  <w:tcBorders>
                    <w:top w:val="nil"/>
                    <w:left w:val="nil"/>
                    <w:bottom w:val="nil"/>
                    <w:right w:val="nil"/>
                  </w:tcBorders>
                  <w:shd w:val="clear" w:color="auto" w:fill="auto"/>
                  <w:noWrap/>
                  <w:vAlign w:val="bottom"/>
                  <w:hideMark/>
                </w:tcPr>
                <w:p w14:paraId="458C6EF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(1.69,4.27)</w:t>
                  </w:r>
                </w:p>
              </w:tc>
              <w:tc>
                <w:tcPr>
                  <w:tcW w:w="582" w:type="dxa"/>
                  <w:tcBorders>
                    <w:top w:val="nil"/>
                    <w:left w:val="nil"/>
                    <w:bottom w:val="nil"/>
                    <w:right w:val="nil"/>
                  </w:tcBorders>
                  <w:shd w:val="clear" w:color="auto" w:fill="auto"/>
                  <w:noWrap/>
                  <w:vAlign w:val="bottom"/>
                  <w:hideMark/>
                </w:tcPr>
                <w:p w14:paraId="378B08A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2.83</w:t>
                  </w:r>
                </w:p>
              </w:tc>
              <w:tc>
                <w:tcPr>
                  <w:tcW w:w="1237" w:type="dxa"/>
                  <w:tcBorders>
                    <w:top w:val="nil"/>
                    <w:left w:val="nil"/>
                    <w:bottom w:val="nil"/>
                    <w:right w:val="nil"/>
                  </w:tcBorders>
                  <w:shd w:val="clear" w:color="auto" w:fill="auto"/>
                  <w:noWrap/>
                  <w:vAlign w:val="bottom"/>
                  <w:hideMark/>
                </w:tcPr>
                <w:p w14:paraId="6BD7A43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(2.50,3.41)</w:t>
                  </w:r>
                </w:p>
              </w:tc>
              <w:tc>
                <w:tcPr>
                  <w:tcW w:w="582" w:type="dxa"/>
                  <w:tcBorders>
                    <w:top w:val="nil"/>
                    <w:left w:val="nil"/>
                    <w:bottom w:val="nil"/>
                    <w:right w:val="nil"/>
                  </w:tcBorders>
                  <w:shd w:val="clear" w:color="auto" w:fill="auto"/>
                  <w:noWrap/>
                  <w:vAlign w:val="bottom"/>
                  <w:hideMark/>
                </w:tcPr>
                <w:p w14:paraId="4AC4B37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2.08</w:t>
                  </w:r>
                </w:p>
              </w:tc>
              <w:tc>
                <w:tcPr>
                  <w:tcW w:w="1162" w:type="dxa"/>
                  <w:tcBorders>
                    <w:top w:val="nil"/>
                    <w:left w:val="nil"/>
                    <w:bottom w:val="nil"/>
                    <w:right w:val="single" w:sz="4" w:space="0" w:color="auto"/>
                  </w:tcBorders>
                  <w:shd w:val="clear" w:color="auto" w:fill="auto"/>
                  <w:noWrap/>
                  <w:vAlign w:val="bottom"/>
                  <w:hideMark/>
                </w:tcPr>
                <w:p w14:paraId="7726C20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(1.51,2.52) </w:t>
                  </w:r>
                </w:p>
              </w:tc>
            </w:tr>
            <w:tr w:rsidR="00B9388C" w:rsidRPr="00B9388C" w14:paraId="73A92651" w14:textId="77777777" w:rsidTr="00B9388C">
              <w:trPr>
                <w:trHeight w:val="255"/>
              </w:trPr>
              <w:tc>
                <w:tcPr>
                  <w:tcW w:w="417" w:type="dxa"/>
                  <w:tcBorders>
                    <w:top w:val="single" w:sz="4" w:space="0" w:color="auto"/>
                    <w:left w:val="single" w:sz="4" w:space="0" w:color="auto"/>
                    <w:bottom w:val="nil"/>
                    <w:right w:val="nil"/>
                  </w:tcBorders>
                  <w:shd w:val="clear" w:color="auto" w:fill="auto"/>
                  <w:noWrap/>
                  <w:vAlign w:val="bottom"/>
                  <w:hideMark/>
                </w:tcPr>
                <w:p w14:paraId="52E0F42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w:t>
                  </w:r>
                </w:p>
              </w:tc>
              <w:tc>
                <w:tcPr>
                  <w:tcW w:w="2060" w:type="dxa"/>
                  <w:tcBorders>
                    <w:top w:val="single" w:sz="4" w:space="0" w:color="auto"/>
                    <w:left w:val="nil"/>
                    <w:bottom w:val="nil"/>
                    <w:right w:val="single" w:sz="4" w:space="0" w:color="auto"/>
                  </w:tcBorders>
                  <w:shd w:val="clear" w:color="auto" w:fill="auto"/>
                  <w:noWrap/>
                  <w:vAlign w:val="bottom"/>
                  <w:hideMark/>
                </w:tcPr>
                <w:p w14:paraId="1B03EECA" w14:textId="7EA4BAB2"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No surveys</w:t>
                  </w:r>
                  <w:r w:rsidR="00E636FB">
                    <w:rPr>
                      <w:rFonts w:ascii="Arial" w:eastAsia="Times New Roman" w:hAnsi="Arial" w:cs="Arial"/>
                      <w:sz w:val="18"/>
                      <w:szCs w:val="18"/>
                      <w:lang w:eastAsia="en-ZA"/>
                    </w:rPr>
                    <w:t>*</w:t>
                  </w:r>
                </w:p>
              </w:tc>
              <w:tc>
                <w:tcPr>
                  <w:tcW w:w="700" w:type="dxa"/>
                  <w:vMerge w:val="restart"/>
                  <w:tcBorders>
                    <w:top w:val="single" w:sz="4" w:space="0" w:color="auto"/>
                    <w:left w:val="single" w:sz="4" w:space="0" w:color="auto"/>
                    <w:bottom w:val="nil"/>
                    <w:right w:val="nil"/>
                  </w:tcBorders>
                  <w:shd w:val="clear" w:color="auto" w:fill="auto"/>
                  <w:noWrap/>
                  <w:vAlign w:val="center"/>
                  <w:hideMark/>
                </w:tcPr>
                <w:p w14:paraId="00EC74B5" w14:textId="3A8974D6"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160</w:t>
                  </w:r>
                </w:p>
              </w:tc>
              <w:tc>
                <w:tcPr>
                  <w:tcW w:w="932" w:type="dxa"/>
                  <w:tcBorders>
                    <w:top w:val="single" w:sz="4" w:space="0" w:color="auto"/>
                    <w:left w:val="nil"/>
                    <w:bottom w:val="nil"/>
                    <w:right w:val="single" w:sz="4" w:space="0" w:color="auto"/>
                  </w:tcBorders>
                  <w:shd w:val="clear" w:color="auto" w:fill="auto"/>
                  <w:noWrap/>
                  <w:vAlign w:val="bottom"/>
                  <w:hideMark/>
                </w:tcPr>
                <w:p w14:paraId="0A45F58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+12.75%</w:t>
                  </w:r>
                </w:p>
              </w:tc>
              <w:tc>
                <w:tcPr>
                  <w:tcW w:w="567" w:type="dxa"/>
                  <w:tcBorders>
                    <w:top w:val="single" w:sz="4" w:space="0" w:color="auto"/>
                    <w:left w:val="nil"/>
                    <w:bottom w:val="nil"/>
                    <w:right w:val="nil"/>
                  </w:tcBorders>
                  <w:shd w:val="clear" w:color="auto" w:fill="auto"/>
                  <w:noWrap/>
                  <w:vAlign w:val="bottom"/>
                  <w:hideMark/>
                </w:tcPr>
                <w:p w14:paraId="38E8471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2.38</w:t>
                  </w:r>
                </w:p>
              </w:tc>
              <w:tc>
                <w:tcPr>
                  <w:tcW w:w="1168" w:type="dxa"/>
                  <w:tcBorders>
                    <w:top w:val="single" w:sz="4" w:space="0" w:color="auto"/>
                    <w:left w:val="nil"/>
                    <w:bottom w:val="nil"/>
                    <w:right w:val="nil"/>
                  </w:tcBorders>
                  <w:shd w:val="clear" w:color="auto" w:fill="auto"/>
                  <w:noWrap/>
                  <w:vAlign w:val="bottom"/>
                  <w:hideMark/>
                </w:tcPr>
                <w:p w14:paraId="41FBC13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(1.20,3.96)</w:t>
                  </w:r>
                </w:p>
              </w:tc>
              <w:tc>
                <w:tcPr>
                  <w:tcW w:w="784" w:type="dxa"/>
                  <w:tcBorders>
                    <w:top w:val="single" w:sz="4" w:space="0" w:color="auto"/>
                    <w:left w:val="nil"/>
                    <w:bottom w:val="nil"/>
                    <w:right w:val="nil"/>
                  </w:tcBorders>
                  <w:shd w:val="clear" w:color="auto" w:fill="auto"/>
                  <w:noWrap/>
                  <w:vAlign w:val="bottom"/>
                  <w:hideMark/>
                </w:tcPr>
                <w:p w14:paraId="72302F3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2.25</w:t>
                  </w:r>
                </w:p>
              </w:tc>
              <w:tc>
                <w:tcPr>
                  <w:tcW w:w="1200" w:type="dxa"/>
                  <w:tcBorders>
                    <w:top w:val="single" w:sz="4" w:space="0" w:color="auto"/>
                    <w:left w:val="nil"/>
                    <w:bottom w:val="nil"/>
                    <w:right w:val="nil"/>
                  </w:tcBorders>
                  <w:shd w:val="clear" w:color="auto" w:fill="auto"/>
                  <w:noWrap/>
                  <w:vAlign w:val="bottom"/>
                  <w:hideMark/>
                </w:tcPr>
                <w:p w14:paraId="3D8F97A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(1.27,3.61)</w:t>
                  </w:r>
                </w:p>
              </w:tc>
              <w:tc>
                <w:tcPr>
                  <w:tcW w:w="752" w:type="dxa"/>
                  <w:tcBorders>
                    <w:top w:val="single" w:sz="4" w:space="0" w:color="auto"/>
                    <w:left w:val="nil"/>
                    <w:bottom w:val="nil"/>
                    <w:right w:val="nil"/>
                  </w:tcBorders>
                  <w:shd w:val="clear" w:color="auto" w:fill="auto"/>
                  <w:noWrap/>
                  <w:vAlign w:val="bottom"/>
                  <w:hideMark/>
                </w:tcPr>
                <w:p w14:paraId="48BA0A0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1.42</w:t>
                  </w:r>
                </w:p>
              </w:tc>
              <w:tc>
                <w:tcPr>
                  <w:tcW w:w="1237" w:type="dxa"/>
                  <w:tcBorders>
                    <w:top w:val="single" w:sz="4" w:space="0" w:color="auto"/>
                    <w:left w:val="nil"/>
                    <w:bottom w:val="nil"/>
                    <w:right w:val="nil"/>
                  </w:tcBorders>
                  <w:shd w:val="clear" w:color="auto" w:fill="auto"/>
                  <w:noWrap/>
                  <w:vAlign w:val="bottom"/>
                  <w:hideMark/>
                </w:tcPr>
                <w:p w14:paraId="241FB45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(0.97,1.98)</w:t>
                  </w:r>
                </w:p>
              </w:tc>
              <w:tc>
                <w:tcPr>
                  <w:tcW w:w="582" w:type="dxa"/>
                  <w:tcBorders>
                    <w:top w:val="single" w:sz="4" w:space="0" w:color="auto"/>
                    <w:left w:val="single" w:sz="4" w:space="0" w:color="auto"/>
                    <w:bottom w:val="nil"/>
                    <w:right w:val="nil"/>
                  </w:tcBorders>
                  <w:shd w:val="clear" w:color="auto" w:fill="auto"/>
                  <w:noWrap/>
                  <w:vAlign w:val="bottom"/>
                  <w:hideMark/>
                </w:tcPr>
                <w:p w14:paraId="6F573D5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2.79</w:t>
                  </w:r>
                </w:p>
              </w:tc>
              <w:tc>
                <w:tcPr>
                  <w:tcW w:w="1237" w:type="dxa"/>
                  <w:tcBorders>
                    <w:top w:val="single" w:sz="4" w:space="0" w:color="auto"/>
                    <w:left w:val="nil"/>
                    <w:bottom w:val="nil"/>
                    <w:right w:val="nil"/>
                  </w:tcBorders>
                  <w:shd w:val="clear" w:color="auto" w:fill="auto"/>
                  <w:noWrap/>
                  <w:vAlign w:val="bottom"/>
                  <w:hideMark/>
                </w:tcPr>
                <w:p w14:paraId="00D9C9A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(1.69,4.50)</w:t>
                  </w:r>
                </w:p>
              </w:tc>
              <w:tc>
                <w:tcPr>
                  <w:tcW w:w="582" w:type="dxa"/>
                  <w:tcBorders>
                    <w:top w:val="single" w:sz="4" w:space="0" w:color="auto"/>
                    <w:left w:val="nil"/>
                    <w:bottom w:val="nil"/>
                    <w:right w:val="nil"/>
                  </w:tcBorders>
                  <w:shd w:val="clear" w:color="auto" w:fill="auto"/>
                  <w:noWrap/>
                  <w:vAlign w:val="bottom"/>
                  <w:hideMark/>
                </w:tcPr>
                <w:p w14:paraId="3E195C8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2.84</w:t>
                  </w:r>
                </w:p>
              </w:tc>
              <w:tc>
                <w:tcPr>
                  <w:tcW w:w="1237" w:type="dxa"/>
                  <w:tcBorders>
                    <w:top w:val="single" w:sz="4" w:space="0" w:color="auto"/>
                    <w:left w:val="nil"/>
                    <w:bottom w:val="nil"/>
                    <w:right w:val="nil"/>
                  </w:tcBorders>
                  <w:shd w:val="clear" w:color="auto" w:fill="auto"/>
                  <w:noWrap/>
                  <w:vAlign w:val="bottom"/>
                  <w:hideMark/>
                </w:tcPr>
                <w:p w14:paraId="6DFFEA4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(2.50,3.41)</w:t>
                  </w:r>
                </w:p>
              </w:tc>
              <w:tc>
                <w:tcPr>
                  <w:tcW w:w="582" w:type="dxa"/>
                  <w:tcBorders>
                    <w:top w:val="single" w:sz="4" w:space="0" w:color="auto"/>
                    <w:left w:val="nil"/>
                    <w:bottom w:val="nil"/>
                    <w:right w:val="nil"/>
                  </w:tcBorders>
                  <w:shd w:val="clear" w:color="auto" w:fill="auto"/>
                  <w:noWrap/>
                  <w:vAlign w:val="bottom"/>
                  <w:hideMark/>
                </w:tcPr>
                <w:p w14:paraId="0DCCA54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2.07</w:t>
                  </w:r>
                </w:p>
              </w:tc>
              <w:tc>
                <w:tcPr>
                  <w:tcW w:w="1162" w:type="dxa"/>
                  <w:tcBorders>
                    <w:top w:val="single" w:sz="4" w:space="0" w:color="auto"/>
                    <w:left w:val="nil"/>
                    <w:bottom w:val="nil"/>
                    <w:right w:val="single" w:sz="4" w:space="0" w:color="auto"/>
                  </w:tcBorders>
                  <w:shd w:val="clear" w:color="auto" w:fill="auto"/>
                  <w:noWrap/>
                  <w:vAlign w:val="bottom"/>
                  <w:hideMark/>
                </w:tcPr>
                <w:p w14:paraId="7EED60D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(1.45,2.52) </w:t>
                  </w:r>
                </w:p>
              </w:tc>
            </w:tr>
            <w:tr w:rsidR="00B9388C" w:rsidRPr="00B9388C" w14:paraId="1C0F381B"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3B2FE85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w:t>
                  </w:r>
                </w:p>
              </w:tc>
              <w:tc>
                <w:tcPr>
                  <w:tcW w:w="2060" w:type="dxa"/>
                  <w:tcBorders>
                    <w:top w:val="nil"/>
                    <w:left w:val="nil"/>
                    <w:bottom w:val="nil"/>
                    <w:right w:val="single" w:sz="4" w:space="0" w:color="auto"/>
                  </w:tcBorders>
                  <w:shd w:val="clear" w:color="auto" w:fill="auto"/>
                  <w:noWrap/>
                  <w:vAlign w:val="bottom"/>
                  <w:hideMark/>
                </w:tcPr>
                <w:p w14:paraId="37F10F46" w14:textId="109B489C"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All industry</w:t>
                  </w:r>
                  <w:r w:rsidR="00E636FB">
                    <w:rPr>
                      <w:rFonts w:ascii="Arial" w:eastAsia="Times New Roman" w:hAnsi="Arial" w:cs="Arial"/>
                      <w:sz w:val="18"/>
                      <w:szCs w:val="18"/>
                      <w:lang w:eastAsia="en-ZA"/>
                    </w:rPr>
                    <w:t>*</w:t>
                  </w:r>
                </w:p>
              </w:tc>
              <w:tc>
                <w:tcPr>
                  <w:tcW w:w="700" w:type="dxa"/>
                  <w:vMerge/>
                  <w:tcBorders>
                    <w:top w:val="single" w:sz="4" w:space="0" w:color="auto"/>
                    <w:left w:val="single" w:sz="4" w:space="0" w:color="auto"/>
                    <w:bottom w:val="nil"/>
                    <w:right w:val="nil"/>
                  </w:tcBorders>
                  <w:vAlign w:val="center"/>
                  <w:hideMark/>
                </w:tcPr>
                <w:p w14:paraId="35E3B6B7"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nil"/>
                    <w:right w:val="single" w:sz="4" w:space="0" w:color="auto"/>
                  </w:tcBorders>
                  <w:shd w:val="clear" w:color="auto" w:fill="auto"/>
                  <w:noWrap/>
                  <w:vAlign w:val="bottom"/>
                  <w:hideMark/>
                </w:tcPr>
                <w:p w14:paraId="7BE54C7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+1.25%</w:t>
                  </w:r>
                </w:p>
              </w:tc>
              <w:tc>
                <w:tcPr>
                  <w:tcW w:w="567" w:type="dxa"/>
                  <w:tcBorders>
                    <w:top w:val="nil"/>
                    <w:left w:val="nil"/>
                    <w:bottom w:val="nil"/>
                    <w:right w:val="nil"/>
                  </w:tcBorders>
                  <w:shd w:val="clear" w:color="auto" w:fill="auto"/>
                  <w:noWrap/>
                  <w:vAlign w:val="bottom"/>
                  <w:hideMark/>
                </w:tcPr>
                <w:p w14:paraId="26B4589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2.27</w:t>
                  </w:r>
                </w:p>
              </w:tc>
              <w:tc>
                <w:tcPr>
                  <w:tcW w:w="1168" w:type="dxa"/>
                  <w:tcBorders>
                    <w:top w:val="nil"/>
                    <w:left w:val="nil"/>
                    <w:bottom w:val="nil"/>
                    <w:right w:val="nil"/>
                  </w:tcBorders>
                  <w:shd w:val="clear" w:color="auto" w:fill="auto"/>
                  <w:noWrap/>
                  <w:vAlign w:val="bottom"/>
                  <w:hideMark/>
                </w:tcPr>
                <w:p w14:paraId="6FB7520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(1.21,3.73)</w:t>
                  </w:r>
                </w:p>
              </w:tc>
              <w:tc>
                <w:tcPr>
                  <w:tcW w:w="784" w:type="dxa"/>
                  <w:tcBorders>
                    <w:top w:val="nil"/>
                    <w:left w:val="nil"/>
                    <w:bottom w:val="nil"/>
                    <w:right w:val="nil"/>
                  </w:tcBorders>
                  <w:shd w:val="clear" w:color="auto" w:fill="auto"/>
                  <w:noWrap/>
                  <w:vAlign w:val="bottom"/>
                  <w:hideMark/>
                </w:tcPr>
                <w:p w14:paraId="66D2A0B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2.24</w:t>
                  </w:r>
                </w:p>
              </w:tc>
              <w:tc>
                <w:tcPr>
                  <w:tcW w:w="1200" w:type="dxa"/>
                  <w:tcBorders>
                    <w:top w:val="nil"/>
                    <w:left w:val="nil"/>
                    <w:bottom w:val="nil"/>
                    <w:right w:val="nil"/>
                  </w:tcBorders>
                  <w:shd w:val="clear" w:color="auto" w:fill="auto"/>
                  <w:noWrap/>
                  <w:vAlign w:val="bottom"/>
                  <w:hideMark/>
                </w:tcPr>
                <w:p w14:paraId="396CAC7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(1.26,3.61)</w:t>
                  </w:r>
                </w:p>
              </w:tc>
              <w:tc>
                <w:tcPr>
                  <w:tcW w:w="752" w:type="dxa"/>
                  <w:tcBorders>
                    <w:top w:val="nil"/>
                    <w:left w:val="nil"/>
                    <w:bottom w:val="nil"/>
                    <w:right w:val="nil"/>
                  </w:tcBorders>
                  <w:shd w:val="clear" w:color="auto" w:fill="auto"/>
                  <w:noWrap/>
                  <w:vAlign w:val="bottom"/>
                  <w:hideMark/>
                </w:tcPr>
                <w:p w14:paraId="1920B06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1.40</w:t>
                  </w:r>
                </w:p>
              </w:tc>
              <w:tc>
                <w:tcPr>
                  <w:tcW w:w="1237" w:type="dxa"/>
                  <w:tcBorders>
                    <w:top w:val="nil"/>
                    <w:left w:val="nil"/>
                    <w:bottom w:val="nil"/>
                    <w:right w:val="nil"/>
                  </w:tcBorders>
                  <w:shd w:val="clear" w:color="auto" w:fill="auto"/>
                  <w:noWrap/>
                  <w:vAlign w:val="bottom"/>
                  <w:hideMark/>
                </w:tcPr>
                <w:p w14:paraId="161C96E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(0.96,1.96)</w:t>
                  </w:r>
                </w:p>
              </w:tc>
              <w:tc>
                <w:tcPr>
                  <w:tcW w:w="582" w:type="dxa"/>
                  <w:tcBorders>
                    <w:top w:val="nil"/>
                    <w:left w:val="single" w:sz="4" w:space="0" w:color="auto"/>
                    <w:bottom w:val="nil"/>
                    <w:right w:val="nil"/>
                  </w:tcBorders>
                  <w:shd w:val="clear" w:color="auto" w:fill="auto"/>
                  <w:noWrap/>
                  <w:vAlign w:val="bottom"/>
                  <w:hideMark/>
                </w:tcPr>
                <w:p w14:paraId="61D688F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2.72</w:t>
                  </w:r>
                </w:p>
              </w:tc>
              <w:tc>
                <w:tcPr>
                  <w:tcW w:w="1237" w:type="dxa"/>
                  <w:tcBorders>
                    <w:top w:val="nil"/>
                    <w:left w:val="nil"/>
                    <w:bottom w:val="nil"/>
                    <w:right w:val="nil"/>
                  </w:tcBorders>
                  <w:shd w:val="clear" w:color="auto" w:fill="auto"/>
                  <w:noWrap/>
                  <w:vAlign w:val="bottom"/>
                  <w:hideMark/>
                </w:tcPr>
                <w:p w14:paraId="7E52470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(1.71,4.29)</w:t>
                  </w:r>
                </w:p>
              </w:tc>
              <w:tc>
                <w:tcPr>
                  <w:tcW w:w="582" w:type="dxa"/>
                  <w:tcBorders>
                    <w:top w:val="nil"/>
                    <w:left w:val="nil"/>
                    <w:bottom w:val="nil"/>
                    <w:right w:val="nil"/>
                  </w:tcBorders>
                  <w:shd w:val="clear" w:color="auto" w:fill="auto"/>
                  <w:noWrap/>
                  <w:vAlign w:val="bottom"/>
                  <w:hideMark/>
                </w:tcPr>
                <w:p w14:paraId="357B875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2.83</w:t>
                  </w:r>
                </w:p>
              </w:tc>
              <w:tc>
                <w:tcPr>
                  <w:tcW w:w="1237" w:type="dxa"/>
                  <w:tcBorders>
                    <w:top w:val="nil"/>
                    <w:left w:val="nil"/>
                    <w:bottom w:val="nil"/>
                    <w:right w:val="nil"/>
                  </w:tcBorders>
                  <w:shd w:val="clear" w:color="auto" w:fill="auto"/>
                  <w:noWrap/>
                  <w:vAlign w:val="bottom"/>
                  <w:hideMark/>
                </w:tcPr>
                <w:p w14:paraId="5F0436F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(2.50,3.41)</w:t>
                  </w:r>
                </w:p>
              </w:tc>
              <w:tc>
                <w:tcPr>
                  <w:tcW w:w="582" w:type="dxa"/>
                  <w:tcBorders>
                    <w:top w:val="nil"/>
                    <w:left w:val="nil"/>
                    <w:bottom w:val="nil"/>
                    <w:right w:val="nil"/>
                  </w:tcBorders>
                  <w:shd w:val="clear" w:color="auto" w:fill="auto"/>
                  <w:noWrap/>
                  <w:vAlign w:val="bottom"/>
                  <w:hideMark/>
                </w:tcPr>
                <w:p w14:paraId="3FBDDFE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2.07</w:t>
                  </w:r>
                </w:p>
              </w:tc>
              <w:tc>
                <w:tcPr>
                  <w:tcW w:w="1162" w:type="dxa"/>
                  <w:tcBorders>
                    <w:top w:val="nil"/>
                    <w:left w:val="nil"/>
                    <w:bottom w:val="nil"/>
                    <w:right w:val="single" w:sz="4" w:space="0" w:color="auto"/>
                  </w:tcBorders>
                  <w:shd w:val="clear" w:color="auto" w:fill="auto"/>
                  <w:noWrap/>
                  <w:vAlign w:val="bottom"/>
                  <w:hideMark/>
                </w:tcPr>
                <w:p w14:paraId="7243548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(1.52,2.52) </w:t>
                  </w:r>
                </w:p>
              </w:tc>
            </w:tr>
            <w:tr w:rsidR="00B9388C" w:rsidRPr="00B9388C" w14:paraId="4246F640"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0EE834F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w:t>
                  </w:r>
                </w:p>
              </w:tc>
              <w:tc>
                <w:tcPr>
                  <w:tcW w:w="2060" w:type="dxa"/>
                  <w:tcBorders>
                    <w:top w:val="nil"/>
                    <w:left w:val="nil"/>
                    <w:bottom w:val="nil"/>
                    <w:right w:val="single" w:sz="4" w:space="0" w:color="auto"/>
                  </w:tcBorders>
                  <w:shd w:val="clear" w:color="auto" w:fill="auto"/>
                  <w:noWrap/>
                  <w:vAlign w:val="bottom"/>
                  <w:hideMark/>
                </w:tcPr>
                <w:p w14:paraId="7D4469FA" w14:textId="4067C00C"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Every </w:t>
                  </w:r>
                  <w:r w:rsidR="00307433">
                    <w:rPr>
                      <w:rFonts w:ascii="Arial" w:eastAsia="Times New Roman" w:hAnsi="Arial" w:cs="Arial"/>
                      <w:sz w:val="18"/>
                      <w:szCs w:val="18"/>
                      <w:lang w:eastAsia="en-ZA"/>
                    </w:rPr>
                    <w:t>seco</w:t>
                  </w:r>
                  <w:r w:rsidRPr="00B9388C">
                    <w:rPr>
                      <w:rFonts w:ascii="Arial" w:eastAsia="Times New Roman" w:hAnsi="Arial" w:cs="Arial"/>
                      <w:sz w:val="18"/>
                      <w:szCs w:val="18"/>
                      <w:lang w:eastAsia="en-ZA"/>
                    </w:rPr>
                    <w:t>nd year</w:t>
                  </w:r>
                  <w:r w:rsidR="00E636FB">
                    <w:rPr>
                      <w:rFonts w:ascii="Arial" w:eastAsia="Times New Roman" w:hAnsi="Arial" w:cs="Arial"/>
                      <w:sz w:val="18"/>
                      <w:szCs w:val="18"/>
                      <w:lang w:eastAsia="en-ZA"/>
                    </w:rPr>
                    <w:t>*</w:t>
                  </w:r>
                </w:p>
              </w:tc>
              <w:tc>
                <w:tcPr>
                  <w:tcW w:w="700" w:type="dxa"/>
                  <w:vMerge/>
                  <w:tcBorders>
                    <w:top w:val="single" w:sz="4" w:space="0" w:color="auto"/>
                    <w:left w:val="single" w:sz="4" w:space="0" w:color="auto"/>
                    <w:bottom w:val="nil"/>
                    <w:right w:val="nil"/>
                  </w:tcBorders>
                  <w:vAlign w:val="center"/>
                  <w:hideMark/>
                </w:tcPr>
                <w:p w14:paraId="44A286E5"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nil"/>
                    <w:right w:val="single" w:sz="4" w:space="0" w:color="auto"/>
                  </w:tcBorders>
                  <w:shd w:val="clear" w:color="auto" w:fill="auto"/>
                  <w:noWrap/>
                  <w:vAlign w:val="bottom"/>
                  <w:hideMark/>
                </w:tcPr>
                <w:p w14:paraId="2A1DC86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539DB64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2.28</w:t>
                  </w:r>
                </w:p>
              </w:tc>
              <w:tc>
                <w:tcPr>
                  <w:tcW w:w="1168" w:type="dxa"/>
                  <w:tcBorders>
                    <w:top w:val="nil"/>
                    <w:left w:val="nil"/>
                    <w:bottom w:val="nil"/>
                    <w:right w:val="nil"/>
                  </w:tcBorders>
                  <w:shd w:val="clear" w:color="auto" w:fill="auto"/>
                  <w:noWrap/>
                  <w:vAlign w:val="bottom"/>
                  <w:hideMark/>
                </w:tcPr>
                <w:p w14:paraId="6467086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(1.21,3.75)</w:t>
                  </w:r>
                </w:p>
              </w:tc>
              <w:tc>
                <w:tcPr>
                  <w:tcW w:w="784" w:type="dxa"/>
                  <w:tcBorders>
                    <w:top w:val="nil"/>
                    <w:left w:val="nil"/>
                    <w:bottom w:val="nil"/>
                    <w:right w:val="nil"/>
                  </w:tcBorders>
                  <w:shd w:val="clear" w:color="auto" w:fill="auto"/>
                  <w:noWrap/>
                  <w:vAlign w:val="bottom"/>
                  <w:hideMark/>
                </w:tcPr>
                <w:p w14:paraId="5FBB2BB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2.25</w:t>
                  </w:r>
                </w:p>
              </w:tc>
              <w:tc>
                <w:tcPr>
                  <w:tcW w:w="1200" w:type="dxa"/>
                  <w:tcBorders>
                    <w:top w:val="nil"/>
                    <w:left w:val="nil"/>
                    <w:bottom w:val="nil"/>
                    <w:right w:val="nil"/>
                  </w:tcBorders>
                  <w:shd w:val="clear" w:color="auto" w:fill="auto"/>
                  <w:noWrap/>
                  <w:vAlign w:val="bottom"/>
                  <w:hideMark/>
                </w:tcPr>
                <w:p w14:paraId="2A89F25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(1.24,3.61)</w:t>
                  </w:r>
                </w:p>
              </w:tc>
              <w:tc>
                <w:tcPr>
                  <w:tcW w:w="752" w:type="dxa"/>
                  <w:tcBorders>
                    <w:top w:val="nil"/>
                    <w:left w:val="nil"/>
                    <w:bottom w:val="nil"/>
                    <w:right w:val="nil"/>
                  </w:tcBorders>
                  <w:shd w:val="clear" w:color="auto" w:fill="auto"/>
                  <w:noWrap/>
                  <w:vAlign w:val="bottom"/>
                  <w:hideMark/>
                </w:tcPr>
                <w:p w14:paraId="0921BC2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1.41</w:t>
                  </w:r>
                </w:p>
              </w:tc>
              <w:tc>
                <w:tcPr>
                  <w:tcW w:w="1237" w:type="dxa"/>
                  <w:tcBorders>
                    <w:top w:val="nil"/>
                    <w:left w:val="nil"/>
                    <w:bottom w:val="nil"/>
                    <w:right w:val="nil"/>
                  </w:tcBorders>
                  <w:shd w:val="clear" w:color="auto" w:fill="auto"/>
                  <w:noWrap/>
                  <w:vAlign w:val="bottom"/>
                  <w:hideMark/>
                </w:tcPr>
                <w:p w14:paraId="6E3D17B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(0.97,1.94)</w:t>
                  </w:r>
                </w:p>
              </w:tc>
              <w:tc>
                <w:tcPr>
                  <w:tcW w:w="582" w:type="dxa"/>
                  <w:tcBorders>
                    <w:top w:val="nil"/>
                    <w:left w:val="single" w:sz="4" w:space="0" w:color="auto"/>
                    <w:bottom w:val="nil"/>
                    <w:right w:val="nil"/>
                  </w:tcBorders>
                  <w:shd w:val="clear" w:color="auto" w:fill="auto"/>
                  <w:noWrap/>
                  <w:vAlign w:val="bottom"/>
                  <w:hideMark/>
                </w:tcPr>
                <w:p w14:paraId="38C47E2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2.75</w:t>
                  </w:r>
                </w:p>
              </w:tc>
              <w:tc>
                <w:tcPr>
                  <w:tcW w:w="1237" w:type="dxa"/>
                  <w:tcBorders>
                    <w:top w:val="nil"/>
                    <w:left w:val="nil"/>
                    <w:bottom w:val="nil"/>
                    <w:right w:val="nil"/>
                  </w:tcBorders>
                  <w:shd w:val="clear" w:color="auto" w:fill="auto"/>
                  <w:noWrap/>
                  <w:vAlign w:val="bottom"/>
                  <w:hideMark/>
                </w:tcPr>
                <w:p w14:paraId="6527BB7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(1.68,4.21)</w:t>
                  </w:r>
                </w:p>
              </w:tc>
              <w:tc>
                <w:tcPr>
                  <w:tcW w:w="582" w:type="dxa"/>
                  <w:tcBorders>
                    <w:top w:val="nil"/>
                    <w:left w:val="nil"/>
                    <w:bottom w:val="nil"/>
                    <w:right w:val="nil"/>
                  </w:tcBorders>
                  <w:shd w:val="clear" w:color="auto" w:fill="auto"/>
                  <w:noWrap/>
                  <w:vAlign w:val="bottom"/>
                  <w:hideMark/>
                </w:tcPr>
                <w:p w14:paraId="40507BC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2.83</w:t>
                  </w:r>
                </w:p>
              </w:tc>
              <w:tc>
                <w:tcPr>
                  <w:tcW w:w="1237" w:type="dxa"/>
                  <w:tcBorders>
                    <w:top w:val="nil"/>
                    <w:left w:val="nil"/>
                    <w:bottom w:val="nil"/>
                    <w:right w:val="nil"/>
                  </w:tcBorders>
                  <w:shd w:val="clear" w:color="auto" w:fill="auto"/>
                  <w:noWrap/>
                  <w:vAlign w:val="bottom"/>
                  <w:hideMark/>
                </w:tcPr>
                <w:p w14:paraId="6AA98B8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(2.49,3.41)</w:t>
                  </w:r>
                </w:p>
              </w:tc>
              <w:tc>
                <w:tcPr>
                  <w:tcW w:w="582" w:type="dxa"/>
                  <w:tcBorders>
                    <w:top w:val="nil"/>
                    <w:left w:val="nil"/>
                    <w:bottom w:val="nil"/>
                    <w:right w:val="nil"/>
                  </w:tcBorders>
                  <w:shd w:val="clear" w:color="auto" w:fill="auto"/>
                  <w:noWrap/>
                  <w:vAlign w:val="bottom"/>
                  <w:hideMark/>
                </w:tcPr>
                <w:p w14:paraId="055AE57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2.09</w:t>
                  </w:r>
                </w:p>
              </w:tc>
              <w:tc>
                <w:tcPr>
                  <w:tcW w:w="1162" w:type="dxa"/>
                  <w:tcBorders>
                    <w:top w:val="nil"/>
                    <w:left w:val="nil"/>
                    <w:bottom w:val="nil"/>
                    <w:right w:val="single" w:sz="4" w:space="0" w:color="auto"/>
                  </w:tcBorders>
                  <w:shd w:val="clear" w:color="auto" w:fill="auto"/>
                  <w:noWrap/>
                  <w:vAlign w:val="bottom"/>
                  <w:hideMark/>
                </w:tcPr>
                <w:p w14:paraId="0B2269F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(1.54,2.52) </w:t>
                  </w:r>
                </w:p>
              </w:tc>
            </w:tr>
            <w:tr w:rsidR="00B9388C" w:rsidRPr="00B9388C" w14:paraId="1F42EB50"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3761DBD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w:t>
                  </w:r>
                </w:p>
              </w:tc>
              <w:tc>
                <w:tcPr>
                  <w:tcW w:w="2060" w:type="dxa"/>
                  <w:tcBorders>
                    <w:top w:val="nil"/>
                    <w:left w:val="nil"/>
                    <w:bottom w:val="nil"/>
                    <w:right w:val="single" w:sz="4" w:space="0" w:color="auto"/>
                  </w:tcBorders>
                  <w:shd w:val="clear" w:color="auto" w:fill="auto"/>
                  <w:noWrap/>
                  <w:vAlign w:val="bottom"/>
                  <w:hideMark/>
                </w:tcPr>
                <w:p w14:paraId="403B210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RC + UCI</w:t>
                  </w:r>
                </w:p>
              </w:tc>
              <w:tc>
                <w:tcPr>
                  <w:tcW w:w="700" w:type="dxa"/>
                  <w:vMerge/>
                  <w:tcBorders>
                    <w:top w:val="single" w:sz="4" w:space="0" w:color="auto"/>
                    <w:left w:val="single" w:sz="4" w:space="0" w:color="auto"/>
                    <w:bottom w:val="nil"/>
                    <w:right w:val="nil"/>
                  </w:tcBorders>
                  <w:vAlign w:val="center"/>
                  <w:hideMark/>
                </w:tcPr>
                <w:p w14:paraId="376F7259"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nil"/>
                    <w:right w:val="single" w:sz="4" w:space="0" w:color="auto"/>
                  </w:tcBorders>
                  <w:shd w:val="clear" w:color="auto" w:fill="auto"/>
                  <w:noWrap/>
                  <w:vAlign w:val="bottom"/>
                  <w:hideMark/>
                </w:tcPr>
                <w:p w14:paraId="4982818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2EAFA63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2.09</w:t>
                  </w:r>
                </w:p>
              </w:tc>
              <w:tc>
                <w:tcPr>
                  <w:tcW w:w="1168" w:type="dxa"/>
                  <w:tcBorders>
                    <w:top w:val="nil"/>
                    <w:left w:val="nil"/>
                    <w:bottom w:val="nil"/>
                    <w:right w:val="nil"/>
                  </w:tcBorders>
                  <w:shd w:val="clear" w:color="auto" w:fill="auto"/>
                  <w:noWrap/>
                  <w:vAlign w:val="bottom"/>
                  <w:hideMark/>
                </w:tcPr>
                <w:p w14:paraId="2387FF6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(0.99,3.67)</w:t>
                  </w:r>
                </w:p>
              </w:tc>
              <w:tc>
                <w:tcPr>
                  <w:tcW w:w="784" w:type="dxa"/>
                  <w:tcBorders>
                    <w:top w:val="nil"/>
                    <w:left w:val="nil"/>
                    <w:bottom w:val="nil"/>
                    <w:right w:val="nil"/>
                  </w:tcBorders>
                  <w:shd w:val="clear" w:color="auto" w:fill="auto"/>
                  <w:noWrap/>
                  <w:vAlign w:val="bottom"/>
                  <w:hideMark/>
                </w:tcPr>
                <w:p w14:paraId="335D8BC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2.24</w:t>
                  </w:r>
                </w:p>
              </w:tc>
              <w:tc>
                <w:tcPr>
                  <w:tcW w:w="1200" w:type="dxa"/>
                  <w:tcBorders>
                    <w:top w:val="nil"/>
                    <w:left w:val="nil"/>
                    <w:bottom w:val="nil"/>
                    <w:right w:val="nil"/>
                  </w:tcBorders>
                  <w:shd w:val="clear" w:color="auto" w:fill="auto"/>
                  <w:noWrap/>
                  <w:vAlign w:val="bottom"/>
                  <w:hideMark/>
                </w:tcPr>
                <w:p w14:paraId="26C7183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(1.23,3.61)</w:t>
                  </w:r>
                </w:p>
              </w:tc>
              <w:tc>
                <w:tcPr>
                  <w:tcW w:w="752" w:type="dxa"/>
                  <w:tcBorders>
                    <w:top w:val="nil"/>
                    <w:left w:val="nil"/>
                    <w:bottom w:val="nil"/>
                    <w:right w:val="nil"/>
                  </w:tcBorders>
                  <w:shd w:val="clear" w:color="auto" w:fill="auto"/>
                  <w:noWrap/>
                  <w:vAlign w:val="bottom"/>
                  <w:hideMark/>
                </w:tcPr>
                <w:p w14:paraId="3EF9038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1.31</w:t>
                  </w:r>
                </w:p>
              </w:tc>
              <w:tc>
                <w:tcPr>
                  <w:tcW w:w="1237" w:type="dxa"/>
                  <w:tcBorders>
                    <w:top w:val="nil"/>
                    <w:left w:val="nil"/>
                    <w:bottom w:val="nil"/>
                    <w:right w:val="nil"/>
                  </w:tcBorders>
                  <w:shd w:val="clear" w:color="auto" w:fill="auto"/>
                  <w:noWrap/>
                  <w:vAlign w:val="bottom"/>
                  <w:hideMark/>
                </w:tcPr>
                <w:p w14:paraId="7208E3B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(0.87,1.90)</w:t>
                  </w:r>
                </w:p>
              </w:tc>
              <w:tc>
                <w:tcPr>
                  <w:tcW w:w="582" w:type="dxa"/>
                  <w:tcBorders>
                    <w:top w:val="nil"/>
                    <w:left w:val="single" w:sz="4" w:space="0" w:color="auto"/>
                    <w:bottom w:val="nil"/>
                    <w:right w:val="nil"/>
                  </w:tcBorders>
                  <w:shd w:val="clear" w:color="auto" w:fill="auto"/>
                  <w:noWrap/>
                  <w:vAlign w:val="bottom"/>
                  <w:hideMark/>
                </w:tcPr>
                <w:p w14:paraId="5A152B5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2.68</w:t>
                  </w:r>
                </w:p>
              </w:tc>
              <w:tc>
                <w:tcPr>
                  <w:tcW w:w="1237" w:type="dxa"/>
                  <w:tcBorders>
                    <w:top w:val="nil"/>
                    <w:left w:val="nil"/>
                    <w:bottom w:val="nil"/>
                    <w:right w:val="nil"/>
                  </w:tcBorders>
                  <w:shd w:val="clear" w:color="auto" w:fill="auto"/>
                  <w:noWrap/>
                  <w:vAlign w:val="bottom"/>
                  <w:hideMark/>
                </w:tcPr>
                <w:p w14:paraId="792B86A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(1.60,4.16)</w:t>
                  </w:r>
                </w:p>
              </w:tc>
              <w:tc>
                <w:tcPr>
                  <w:tcW w:w="582" w:type="dxa"/>
                  <w:tcBorders>
                    <w:top w:val="nil"/>
                    <w:left w:val="nil"/>
                    <w:bottom w:val="nil"/>
                    <w:right w:val="nil"/>
                  </w:tcBorders>
                  <w:shd w:val="clear" w:color="auto" w:fill="auto"/>
                  <w:noWrap/>
                  <w:vAlign w:val="bottom"/>
                  <w:hideMark/>
                </w:tcPr>
                <w:p w14:paraId="15DAD3A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2.83</w:t>
                  </w:r>
                </w:p>
              </w:tc>
              <w:tc>
                <w:tcPr>
                  <w:tcW w:w="1237" w:type="dxa"/>
                  <w:tcBorders>
                    <w:top w:val="nil"/>
                    <w:left w:val="nil"/>
                    <w:bottom w:val="nil"/>
                    <w:right w:val="nil"/>
                  </w:tcBorders>
                  <w:shd w:val="clear" w:color="auto" w:fill="auto"/>
                  <w:noWrap/>
                  <w:vAlign w:val="bottom"/>
                  <w:hideMark/>
                </w:tcPr>
                <w:p w14:paraId="06F551E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(2.50,3.41)</w:t>
                  </w:r>
                </w:p>
              </w:tc>
              <w:tc>
                <w:tcPr>
                  <w:tcW w:w="582" w:type="dxa"/>
                  <w:tcBorders>
                    <w:top w:val="nil"/>
                    <w:left w:val="nil"/>
                    <w:bottom w:val="nil"/>
                    <w:right w:val="nil"/>
                  </w:tcBorders>
                  <w:shd w:val="clear" w:color="auto" w:fill="auto"/>
                  <w:noWrap/>
                  <w:vAlign w:val="bottom"/>
                  <w:hideMark/>
                </w:tcPr>
                <w:p w14:paraId="0C53EE4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2.04</w:t>
                  </w:r>
                </w:p>
              </w:tc>
              <w:tc>
                <w:tcPr>
                  <w:tcW w:w="1162" w:type="dxa"/>
                  <w:tcBorders>
                    <w:top w:val="nil"/>
                    <w:left w:val="nil"/>
                    <w:bottom w:val="nil"/>
                    <w:right w:val="single" w:sz="4" w:space="0" w:color="auto"/>
                  </w:tcBorders>
                  <w:shd w:val="clear" w:color="auto" w:fill="auto"/>
                  <w:noWrap/>
                  <w:vAlign w:val="bottom"/>
                  <w:hideMark/>
                </w:tcPr>
                <w:p w14:paraId="0AE8C7B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(1.43,2.52) </w:t>
                  </w:r>
                </w:p>
              </w:tc>
            </w:tr>
            <w:tr w:rsidR="00B9388C" w:rsidRPr="00B9388C" w14:paraId="423AFFE8" w14:textId="77777777" w:rsidTr="00B9388C">
              <w:trPr>
                <w:trHeight w:val="255"/>
              </w:trPr>
              <w:tc>
                <w:tcPr>
                  <w:tcW w:w="417" w:type="dxa"/>
                  <w:tcBorders>
                    <w:top w:val="nil"/>
                    <w:left w:val="single" w:sz="4" w:space="0" w:color="auto"/>
                    <w:bottom w:val="single" w:sz="4" w:space="0" w:color="auto"/>
                    <w:right w:val="nil"/>
                  </w:tcBorders>
                  <w:shd w:val="clear" w:color="auto" w:fill="auto"/>
                  <w:noWrap/>
                  <w:vAlign w:val="bottom"/>
                  <w:hideMark/>
                </w:tcPr>
                <w:p w14:paraId="654A0D2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2060" w:type="dxa"/>
                  <w:tcBorders>
                    <w:top w:val="nil"/>
                    <w:left w:val="nil"/>
                    <w:bottom w:val="single" w:sz="4" w:space="0" w:color="auto"/>
                    <w:right w:val="single" w:sz="4" w:space="0" w:color="auto"/>
                  </w:tcBorders>
                  <w:shd w:val="clear" w:color="auto" w:fill="auto"/>
                  <w:noWrap/>
                  <w:vAlign w:val="bottom"/>
                  <w:hideMark/>
                </w:tcPr>
                <w:p w14:paraId="64E6F6F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NS+ UCI</w:t>
                  </w:r>
                </w:p>
              </w:tc>
              <w:tc>
                <w:tcPr>
                  <w:tcW w:w="700" w:type="dxa"/>
                  <w:vMerge/>
                  <w:tcBorders>
                    <w:top w:val="single" w:sz="4" w:space="0" w:color="auto"/>
                    <w:left w:val="single" w:sz="4" w:space="0" w:color="auto"/>
                    <w:bottom w:val="nil"/>
                    <w:right w:val="nil"/>
                  </w:tcBorders>
                  <w:vAlign w:val="center"/>
                  <w:hideMark/>
                </w:tcPr>
                <w:p w14:paraId="0B9C65BA"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single" w:sz="4" w:space="0" w:color="auto"/>
                    <w:right w:val="single" w:sz="4" w:space="0" w:color="auto"/>
                  </w:tcBorders>
                  <w:shd w:val="clear" w:color="auto" w:fill="auto"/>
                  <w:noWrap/>
                  <w:vAlign w:val="bottom"/>
                  <w:hideMark/>
                </w:tcPr>
                <w:p w14:paraId="09F752D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+12.75%</w:t>
                  </w:r>
                </w:p>
              </w:tc>
              <w:tc>
                <w:tcPr>
                  <w:tcW w:w="567" w:type="dxa"/>
                  <w:tcBorders>
                    <w:top w:val="nil"/>
                    <w:left w:val="nil"/>
                    <w:bottom w:val="single" w:sz="4" w:space="0" w:color="auto"/>
                    <w:right w:val="nil"/>
                  </w:tcBorders>
                  <w:shd w:val="clear" w:color="auto" w:fill="auto"/>
                  <w:noWrap/>
                  <w:vAlign w:val="bottom"/>
                  <w:hideMark/>
                </w:tcPr>
                <w:p w14:paraId="7030988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2.08</w:t>
                  </w:r>
                </w:p>
              </w:tc>
              <w:tc>
                <w:tcPr>
                  <w:tcW w:w="1168" w:type="dxa"/>
                  <w:tcBorders>
                    <w:top w:val="nil"/>
                    <w:left w:val="nil"/>
                    <w:bottom w:val="single" w:sz="4" w:space="0" w:color="auto"/>
                    <w:right w:val="nil"/>
                  </w:tcBorders>
                  <w:shd w:val="clear" w:color="auto" w:fill="auto"/>
                  <w:noWrap/>
                  <w:vAlign w:val="bottom"/>
                  <w:hideMark/>
                </w:tcPr>
                <w:p w14:paraId="135952C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(0.92,3.70)</w:t>
                  </w:r>
                </w:p>
              </w:tc>
              <w:tc>
                <w:tcPr>
                  <w:tcW w:w="784" w:type="dxa"/>
                  <w:tcBorders>
                    <w:top w:val="nil"/>
                    <w:left w:val="nil"/>
                    <w:bottom w:val="single" w:sz="4" w:space="0" w:color="auto"/>
                    <w:right w:val="nil"/>
                  </w:tcBorders>
                  <w:shd w:val="clear" w:color="auto" w:fill="auto"/>
                  <w:noWrap/>
                  <w:vAlign w:val="bottom"/>
                  <w:hideMark/>
                </w:tcPr>
                <w:p w14:paraId="64C8A7E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2.24</w:t>
                  </w:r>
                </w:p>
              </w:tc>
              <w:tc>
                <w:tcPr>
                  <w:tcW w:w="1200" w:type="dxa"/>
                  <w:tcBorders>
                    <w:top w:val="nil"/>
                    <w:left w:val="nil"/>
                    <w:bottom w:val="single" w:sz="4" w:space="0" w:color="auto"/>
                    <w:right w:val="nil"/>
                  </w:tcBorders>
                  <w:shd w:val="clear" w:color="auto" w:fill="auto"/>
                  <w:noWrap/>
                  <w:vAlign w:val="bottom"/>
                  <w:hideMark/>
                </w:tcPr>
                <w:p w14:paraId="00DF2BE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(1.27,3.61)</w:t>
                  </w:r>
                </w:p>
              </w:tc>
              <w:tc>
                <w:tcPr>
                  <w:tcW w:w="752" w:type="dxa"/>
                  <w:tcBorders>
                    <w:top w:val="nil"/>
                    <w:left w:val="nil"/>
                    <w:bottom w:val="single" w:sz="4" w:space="0" w:color="auto"/>
                    <w:right w:val="nil"/>
                  </w:tcBorders>
                  <w:shd w:val="clear" w:color="auto" w:fill="auto"/>
                  <w:noWrap/>
                  <w:vAlign w:val="bottom"/>
                  <w:hideMark/>
                </w:tcPr>
                <w:p w14:paraId="0CA5147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1.30</w:t>
                  </w:r>
                </w:p>
              </w:tc>
              <w:tc>
                <w:tcPr>
                  <w:tcW w:w="1237" w:type="dxa"/>
                  <w:tcBorders>
                    <w:top w:val="nil"/>
                    <w:left w:val="nil"/>
                    <w:bottom w:val="single" w:sz="4" w:space="0" w:color="auto"/>
                    <w:right w:val="nil"/>
                  </w:tcBorders>
                  <w:shd w:val="clear" w:color="auto" w:fill="auto"/>
                  <w:noWrap/>
                  <w:vAlign w:val="bottom"/>
                  <w:hideMark/>
                </w:tcPr>
                <w:p w14:paraId="340EEC4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(0.83,1.90)</w:t>
                  </w:r>
                </w:p>
              </w:tc>
              <w:tc>
                <w:tcPr>
                  <w:tcW w:w="582" w:type="dxa"/>
                  <w:tcBorders>
                    <w:top w:val="nil"/>
                    <w:left w:val="single" w:sz="4" w:space="0" w:color="auto"/>
                    <w:bottom w:val="single" w:sz="4" w:space="0" w:color="auto"/>
                    <w:right w:val="nil"/>
                  </w:tcBorders>
                  <w:shd w:val="clear" w:color="auto" w:fill="auto"/>
                  <w:noWrap/>
                  <w:vAlign w:val="bottom"/>
                  <w:hideMark/>
                </w:tcPr>
                <w:p w14:paraId="3B8A427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2.65</w:t>
                  </w:r>
                </w:p>
              </w:tc>
              <w:tc>
                <w:tcPr>
                  <w:tcW w:w="1237" w:type="dxa"/>
                  <w:tcBorders>
                    <w:top w:val="nil"/>
                    <w:left w:val="nil"/>
                    <w:bottom w:val="single" w:sz="4" w:space="0" w:color="auto"/>
                    <w:right w:val="nil"/>
                  </w:tcBorders>
                  <w:shd w:val="clear" w:color="auto" w:fill="auto"/>
                  <w:noWrap/>
                  <w:vAlign w:val="bottom"/>
                  <w:hideMark/>
                </w:tcPr>
                <w:p w14:paraId="4225481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(1.60,4.15)</w:t>
                  </w:r>
                </w:p>
              </w:tc>
              <w:tc>
                <w:tcPr>
                  <w:tcW w:w="582" w:type="dxa"/>
                  <w:tcBorders>
                    <w:top w:val="nil"/>
                    <w:left w:val="nil"/>
                    <w:bottom w:val="single" w:sz="4" w:space="0" w:color="auto"/>
                    <w:right w:val="nil"/>
                  </w:tcBorders>
                  <w:shd w:val="clear" w:color="auto" w:fill="auto"/>
                  <w:noWrap/>
                  <w:vAlign w:val="bottom"/>
                  <w:hideMark/>
                </w:tcPr>
                <w:p w14:paraId="2B4C06A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2.83</w:t>
                  </w:r>
                </w:p>
              </w:tc>
              <w:tc>
                <w:tcPr>
                  <w:tcW w:w="1237" w:type="dxa"/>
                  <w:tcBorders>
                    <w:top w:val="nil"/>
                    <w:left w:val="nil"/>
                    <w:bottom w:val="single" w:sz="4" w:space="0" w:color="auto"/>
                    <w:right w:val="nil"/>
                  </w:tcBorders>
                  <w:shd w:val="clear" w:color="auto" w:fill="auto"/>
                  <w:noWrap/>
                  <w:vAlign w:val="bottom"/>
                  <w:hideMark/>
                </w:tcPr>
                <w:p w14:paraId="1EA9170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(2.50,3.41)</w:t>
                  </w:r>
                </w:p>
              </w:tc>
              <w:tc>
                <w:tcPr>
                  <w:tcW w:w="582" w:type="dxa"/>
                  <w:tcBorders>
                    <w:top w:val="nil"/>
                    <w:left w:val="nil"/>
                    <w:bottom w:val="single" w:sz="4" w:space="0" w:color="auto"/>
                    <w:right w:val="nil"/>
                  </w:tcBorders>
                  <w:shd w:val="clear" w:color="auto" w:fill="auto"/>
                  <w:noWrap/>
                  <w:vAlign w:val="bottom"/>
                  <w:hideMark/>
                </w:tcPr>
                <w:p w14:paraId="57E45A6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2.01</w:t>
                  </w:r>
                </w:p>
              </w:tc>
              <w:tc>
                <w:tcPr>
                  <w:tcW w:w="1162" w:type="dxa"/>
                  <w:tcBorders>
                    <w:top w:val="nil"/>
                    <w:left w:val="nil"/>
                    <w:bottom w:val="single" w:sz="4" w:space="0" w:color="auto"/>
                    <w:right w:val="single" w:sz="4" w:space="0" w:color="auto"/>
                  </w:tcBorders>
                  <w:shd w:val="clear" w:color="auto" w:fill="auto"/>
                  <w:noWrap/>
                  <w:vAlign w:val="bottom"/>
                  <w:hideMark/>
                </w:tcPr>
                <w:p w14:paraId="6E6C0CF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(1.41,2.52) </w:t>
                  </w:r>
                </w:p>
              </w:tc>
            </w:tr>
            <w:tr w:rsidR="00B9388C" w:rsidRPr="00B9388C" w14:paraId="1CA78810"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6C78318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6</w:t>
                  </w:r>
                </w:p>
              </w:tc>
              <w:tc>
                <w:tcPr>
                  <w:tcW w:w="2060" w:type="dxa"/>
                  <w:tcBorders>
                    <w:top w:val="nil"/>
                    <w:left w:val="nil"/>
                    <w:bottom w:val="nil"/>
                    <w:right w:val="single" w:sz="4" w:space="0" w:color="auto"/>
                  </w:tcBorders>
                  <w:shd w:val="clear" w:color="auto" w:fill="auto"/>
                  <w:noWrap/>
                  <w:vAlign w:val="bottom"/>
                  <w:hideMark/>
                </w:tcPr>
                <w:p w14:paraId="5A112ED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Original mortality</w:t>
                  </w:r>
                </w:p>
              </w:tc>
              <w:tc>
                <w:tcPr>
                  <w:tcW w:w="700" w:type="dxa"/>
                  <w:vMerge w:val="restart"/>
                  <w:tcBorders>
                    <w:top w:val="single" w:sz="4" w:space="0" w:color="auto"/>
                    <w:left w:val="single" w:sz="4" w:space="0" w:color="auto"/>
                    <w:bottom w:val="single" w:sz="4" w:space="0" w:color="000000"/>
                    <w:right w:val="nil"/>
                  </w:tcBorders>
                  <w:shd w:val="clear" w:color="auto" w:fill="auto"/>
                  <w:noWrap/>
                  <w:vAlign w:val="center"/>
                  <w:hideMark/>
                </w:tcPr>
                <w:p w14:paraId="603E881B"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160</w:t>
                  </w:r>
                </w:p>
              </w:tc>
              <w:tc>
                <w:tcPr>
                  <w:tcW w:w="932" w:type="dxa"/>
                  <w:tcBorders>
                    <w:top w:val="nil"/>
                    <w:left w:val="nil"/>
                    <w:bottom w:val="nil"/>
                    <w:right w:val="single" w:sz="4" w:space="0" w:color="auto"/>
                  </w:tcBorders>
                  <w:shd w:val="clear" w:color="auto" w:fill="auto"/>
                  <w:noWrap/>
                  <w:vAlign w:val="bottom"/>
                  <w:hideMark/>
                </w:tcPr>
                <w:p w14:paraId="59F84EC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25F2C90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2.28</w:t>
                  </w:r>
                </w:p>
              </w:tc>
              <w:tc>
                <w:tcPr>
                  <w:tcW w:w="1168" w:type="dxa"/>
                  <w:tcBorders>
                    <w:top w:val="nil"/>
                    <w:left w:val="nil"/>
                    <w:bottom w:val="nil"/>
                    <w:right w:val="nil"/>
                  </w:tcBorders>
                  <w:shd w:val="clear" w:color="auto" w:fill="auto"/>
                  <w:noWrap/>
                  <w:vAlign w:val="bottom"/>
                  <w:hideMark/>
                </w:tcPr>
                <w:p w14:paraId="6E17469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(0.98,4.12)</w:t>
                  </w:r>
                </w:p>
              </w:tc>
              <w:tc>
                <w:tcPr>
                  <w:tcW w:w="784" w:type="dxa"/>
                  <w:tcBorders>
                    <w:top w:val="nil"/>
                    <w:left w:val="nil"/>
                    <w:bottom w:val="nil"/>
                    <w:right w:val="nil"/>
                  </w:tcBorders>
                  <w:shd w:val="clear" w:color="auto" w:fill="auto"/>
                  <w:noWrap/>
                  <w:vAlign w:val="bottom"/>
                  <w:hideMark/>
                </w:tcPr>
                <w:p w14:paraId="0DFB22E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2.25</w:t>
                  </w:r>
                </w:p>
              </w:tc>
              <w:tc>
                <w:tcPr>
                  <w:tcW w:w="1200" w:type="dxa"/>
                  <w:tcBorders>
                    <w:top w:val="nil"/>
                    <w:left w:val="nil"/>
                    <w:bottom w:val="nil"/>
                    <w:right w:val="nil"/>
                  </w:tcBorders>
                  <w:shd w:val="clear" w:color="auto" w:fill="auto"/>
                  <w:noWrap/>
                  <w:vAlign w:val="bottom"/>
                  <w:hideMark/>
                </w:tcPr>
                <w:p w14:paraId="76761BD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(1.24,3.66)</w:t>
                  </w:r>
                </w:p>
              </w:tc>
              <w:tc>
                <w:tcPr>
                  <w:tcW w:w="752" w:type="dxa"/>
                  <w:tcBorders>
                    <w:top w:val="nil"/>
                    <w:left w:val="nil"/>
                    <w:bottom w:val="nil"/>
                    <w:right w:val="nil"/>
                  </w:tcBorders>
                  <w:shd w:val="clear" w:color="auto" w:fill="auto"/>
                  <w:noWrap/>
                  <w:vAlign w:val="bottom"/>
                  <w:hideMark/>
                </w:tcPr>
                <w:p w14:paraId="2C168B2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1.31</w:t>
                  </w:r>
                </w:p>
              </w:tc>
              <w:tc>
                <w:tcPr>
                  <w:tcW w:w="1237" w:type="dxa"/>
                  <w:tcBorders>
                    <w:top w:val="nil"/>
                    <w:left w:val="nil"/>
                    <w:bottom w:val="nil"/>
                    <w:right w:val="nil"/>
                  </w:tcBorders>
                  <w:shd w:val="clear" w:color="auto" w:fill="auto"/>
                  <w:noWrap/>
                  <w:vAlign w:val="bottom"/>
                  <w:hideMark/>
                </w:tcPr>
                <w:p w14:paraId="77E529D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(0.81,1.76)</w:t>
                  </w:r>
                </w:p>
              </w:tc>
              <w:tc>
                <w:tcPr>
                  <w:tcW w:w="582" w:type="dxa"/>
                  <w:tcBorders>
                    <w:top w:val="nil"/>
                    <w:left w:val="single" w:sz="4" w:space="0" w:color="auto"/>
                    <w:bottom w:val="nil"/>
                    <w:right w:val="nil"/>
                  </w:tcBorders>
                  <w:shd w:val="clear" w:color="auto" w:fill="auto"/>
                  <w:noWrap/>
                  <w:vAlign w:val="bottom"/>
                  <w:hideMark/>
                </w:tcPr>
                <w:p w14:paraId="2D81F7D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2.75</w:t>
                  </w:r>
                </w:p>
              </w:tc>
              <w:tc>
                <w:tcPr>
                  <w:tcW w:w="1237" w:type="dxa"/>
                  <w:tcBorders>
                    <w:top w:val="nil"/>
                    <w:left w:val="nil"/>
                    <w:bottom w:val="nil"/>
                    <w:right w:val="nil"/>
                  </w:tcBorders>
                  <w:shd w:val="clear" w:color="auto" w:fill="auto"/>
                  <w:noWrap/>
                  <w:vAlign w:val="bottom"/>
                  <w:hideMark/>
                </w:tcPr>
                <w:p w14:paraId="6E0CCC1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(1.72,4.65)</w:t>
                  </w:r>
                </w:p>
              </w:tc>
              <w:tc>
                <w:tcPr>
                  <w:tcW w:w="582" w:type="dxa"/>
                  <w:tcBorders>
                    <w:top w:val="nil"/>
                    <w:left w:val="nil"/>
                    <w:bottom w:val="nil"/>
                    <w:right w:val="nil"/>
                  </w:tcBorders>
                  <w:shd w:val="clear" w:color="auto" w:fill="auto"/>
                  <w:noWrap/>
                  <w:vAlign w:val="bottom"/>
                  <w:hideMark/>
                </w:tcPr>
                <w:p w14:paraId="7BFE6CE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2.76</w:t>
                  </w:r>
                </w:p>
              </w:tc>
              <w:tc>
                <w:tcPr>
                  <w:tcW w:w="1237" w:type="dxa"/>
                  <w:tcBorders>
                    <w:top w:val="nil"/>
                    <w:left w:val="nil"/>
                    <w:bottom w:val="nil"/>
                    <w:right w:val="nil"/>
                  </w:tcBorders>
                  <w:shd w:val="clear" w:color="auto" w:fill="auto"/>
                  <w:noWrap/>
                  <w:vAlign w:val="bottom"/>
                  <w:hideMark/>
                </w:tcPr>
                <w:p w14:paraId="6AA52FD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(2.25,3.48)</w:t>
                  </w:r>
                </w:p>
              </w:tc>
              <w:tc>
                <w:tcPr>
                  <w:tcW w:w="582" w:type="dxa"/>
                  <w:tcBorders>
                    <w:top w:val="nil"/>
                    <w:left w:val="nil"/>
                    <w:bottom w:val="nil"/>
                    <w:right w:val="nil"/>
                  </w:tcBorders>
                  <w:shd w:val="clear" w:color="auto" w:fill="auto"/>
                  <w:noWrap/>
                  <w:vAlign w:val="bottom"/>
                  <w:hideMark/>
                </w:tcPr>
                <w:p w14:paraId="5E29150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1.78</w:t>
                  </w:r>
                </w:p>
              </w:tc>
              <w:tc>
                <w:tcPr>
                  <w:tcW w:w="1162" w:type="dxa"/>
                  <w:tcBorders>
                    <w:top w:val="nil"/>
                    <w:left w:val="nil"/>
                    <w:bottom w:val="nil"/>
                    <w:right w:val="single" w:sz="4" w:space="0" w:color="auto"/>
                  </w:tcBorders>
                  <w:shd w:val="clear" w:color="auto" w:fill="auto"/>
                  <w:noWrap/>
                  <w:vAlign w:val="bottom"/>
                  <w:hideMark/>
                </w:tcPr>
                <w:p w14:paraId="6919C50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(1.20,2.34) </w:t>
                  </w:r>
                </w:p>
              </w:tc>
            </w:tr>
            <w:tr w:rsidR="00B9388C" w:rsidRPr="00B9388C" w14:paraId="191D8122"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621B995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7</w:t>
                  </w:r>
                </w:p>
              </w:tc>
              <w:tc>
                <w:tcPr>
                  <w:tcW w:w="2060" w:type="dxa"/>
                  <w:tcBorders>
                    <w:top w:val="nil"/>
                    <w:left w:val="nil"/>
                    <w:bottom w:val="nil"/>
                    <w:right w:val="single" w:sz="4" w:space="0" w:color="auto"/>
                  </w:tcBorders>
                  <w:shd w:val="clear" w:color="auto" w:fill="auto"/>
                  <w:noWrap/>
                  <w:vAlign w:val="bottom"/>
                  <w:hideMark/>
                </w:tcPr>
                <w:p w14:paraId="57D67C0A" w14:textId="08686B5F"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Alg13 sp. </w:t>
                  </w:r>
                  <w:r w:rsidR="00307433">
                    <w:rPr>
                      <w:rFonts w:ascii="Arial" w:eastAsia="Times New Roman" w:hAnsi="Arial" w:cs="Arial"/>
                      <w:sz w:val="18"/>
                      <w:szCs w:val="18"/>
                      <w:lang w:eastAsia="en-ZA"/>
                    </w:rPr>
                    <w:t>s</w:t>
                  </w:r>
                  <w:r w:rsidRPr="00B9388C">
                    <w:rPr>
                      <w:rFonts w:ascii="Arial" w:eastAsia="Times New Roman" w:hAnsi="Arial" w:cs="Arial"/>
                      <w:sz w:val="18"/>
                      <w:szCs w:val="18"/>
                      <w:lang w:eastAsia="en-ZA"/>
                    </w:rPr>
                    <w:t>plitting</w:t>
                  </w:r>
                </w:p>
              </w:tc>
              <w:tc>
                <w:tcPr>
                  <w:tcW w:w="700" w:type="dxa"/>
                  <w:vMerge/>
                  <w:tcBorders>
                    <w:top w:val="single" w:sz="4" w:space="0" w:color="auto"/>
                    <w:left w:val="single" w:sz="4" w:space="0" w:color="auto"/>
                    <w:bottom w:val="single" w:sz="4" w:space="0" w:color="000000"/>
                    <w:right w:val="nil"/>
                  </w:tcBorders>
                  <w:vAlign w:val="center"/>
                  <w:hideMark/>
                </w:tcPr>
                <w:p w14:paraId="5A6178E1"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nil"/>
                    <w:right w:val="single" w:sz="4" w:space="0" w:color="auto"/>
                  </w:tcBorders>
                  <w:shd w:val="clear" w:color="auto" w:fill="auto"/>
                  <w:noWrap/>
                  <w:vAlign w:val="bottom"/>
                  <w:hideMark/>
                </w:tcPr>
                <w:p w14:paraId="6867232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57BBAF8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2.16</w:t>
                  </w:r>
                </w:p>
              </w:tc>
              <w:tc>
                <w:tcPr>
                  <w:tcW w:w="1168" w:type="dxa"/>
                  <w:tcBorders>
                    <w:top w:val="nil"/>
                    <w:left w:val="nil"/>
                    <w:bottom w:val="nil"/>
                    <w:right w:val="nil"/>
                  </w:tcBorders>
                  <w:shd w:val="clear" w:color="auto" w:fill="auto"/>
                  <w:noWrap/>
                  <w:vAlign w:val="bottom"/>
                  <w:hideMark/>
                </w:tcPr>
                <w:p w14:paraId="564AE37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(1.19,3.60)</w:t>
                  </w:r>
                </w:p>
              </w:tc>
              <w:tc>
                <w:tcPr>
                  <w:tcW w:w="784" w:type="dxa"/>
                  <w:tcBorders>
                    <w:top w:val="nil"/>
                    <w:left w:val="nil"/>
                    <w:bottom w:val="nil"/>
                    <w:right w:val="nil"/>
                  </w:tcBorders>
                  <w:shd w:val="clear" w:color="auto" w:fill="auto"/>
                  <w:noWrap/>
                  <w:vAlign w:val="bottom"/>
                  <w:hideMark/>
                </w:tcPr>
                <w:p w14:paraId="1205BA0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1.93</w:t>
                  </w:r>
                </w:p>
              </w:tc>
              <w:tc>
                <w:tcPr>
                  <w:tcW w:w="1200" w:type="dxa"/>
                  <w:tcBorders>
                    <w:top w:val="nil"/>
                    <w:left w:val="nil"/>
                    <w:bottom w:val="nil"/>
                    <w:right w:val="nil"/>
                  </w:tcBorders>
                  <w:shd w:val="clear" w:color="auto" w:fill="auto"/>
                  <w:noWrap/>
                  <w:vAlign w:val="bottom"/>
                  <w:hideMark/>
                </w:tcPr>
                <w:p w14:paraId="00BF72C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(1.06,3.05)</w:t>
                  </w:r>
                </w:p>
              </w:tc>
              <w:tc>
                <w:tcPr>
                  <w:tcW w:w="752" w:type="dxa"/>
                  <w:tcBorders>
                    <w:top w:val="nil"/>
                    <w:left w:val="nil"/>
                    <w:bottom w:val="nil"/>
                    <w:right w:val="nil"/>
                  </w:tcBorders>
                  <w:shd w:val="clear" w:color="auto" w:fill="auto"/>
                  <w:noWrap/>
                  <w:vAlign w:val="bottom"/>
                  <w:hideMark/>
                </w:tcPr>
                <w:p w14:paraId="4BA3A91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1.37</w:t>
                  </w:r>
                </w:p>
              </w:tc>
              <w:tc>
                <w:tcPr>
                  <w:tcW w:w="1237" w:type="dxa"/>
                  <w:tcBorders>
                    <w:top w:val="nil"/>
                    <w:left w:val="nil"/>
                    <w:bottom w:val="nil"/>
                    <w:right w:val="nil"/>
                  </w:tcBorders>
                  <w:shd w:val="clear" w:color="auto" w:fill="auto"/>
                  <w:noWrap/>
                  <w:vAlign w:val="bottom"/>
                  <w:hideMark/>
                </w:tcPr>
                <w:p w14:paraId="6099CA6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(0.89,1.74)</w:t>
                  </w:r>
                </w:p>
              </w:tc>
              <w:tc>
                <w:tcPr>
                  <w:tcW w:w="582" w:type="dxa"/>
                  <w:tcBorders>
                    <w:top w:val="nil"/>
                    <w:left w:val="single" w:sz="4" w:space="0" w:color="auto"/>
                    <w:bottom w:val="nil"/>
                    <w:right w:val="nil"/>
                  </w:tcBorders>
                  <w:shd w:val="clear" w:color="auto" w:fill="auto"/>
                  <w:noWrap/>
                  <w:vAlign w:val="bottom"/>
                  <w:hideMark/>
                </w:tcPr>
                <w:p w14:paraId="06F736A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3.11</w:t>
                  </w:r>
                </w:p>
              </w:tc>
              <w:tc>
                <w:tcPr>
                  <w:tcW w:w="1237" w:type="dxa"/>
                  <w:tcBorders>
                    <w:top w:val="nil"/>
                    <w:left w:val="nil"/>
                    <w:bottom w:val="nil"/>
                    <w:right w:val="nil"/>
                  </w:tcBorders>
                  <w:shd w:val="clear" w:color="auto" w:fill="auto"/>
                  <w:noWrap/>
                  <w:vAlign w:val="bottom"/>
                  <w:hideMark/>
                </w:tcPr>
                <w:p w14:paraId="54F7641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(2.00,4.39)</w:t>
                  </w:r>
                </w:p>
              </w:tc>
              <w:tc>
                <w:tcPr>
                  <w:tcW w:w="582" w:type="dxa"/>
                  <w:tcBorders>
                    <w:top w:val="nil"/>
                    <w:left w:val="nil"/>
                    <w:bottom w:val="nil"/>
                    <w:right w:val="nil"/>
                  </w:tcBorders>
                  <w:shd w:val="clear" w:color="auto" w:fill="auto"/>
                  <w:noWrap/>
                  <w:vAlign w:val="bottom"/>
                  <w:hideMark/>
                </w:tcPr>
                <w:p w14:paraId="31C81A5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3.11</w:t>
                  </w:r>
                </w:p>
              </w:tc>
              <w:tc>
                <w:tcPr>
                  <w:tcW w:w="1237" w:type="dxa"/>
                  <w:tcBorders>
                    <w:top w:val="nil"/>
                    <w:left w:val="nil"/>
                    <w:bottom w:val="nil"/>
                    <w:right w:val="nil"/>
                  </w:tcBorders>
                  <w:shd w:val="clear" w:color="auto" w:fill="auto"/>
                  <w:noWrap/>
                  <w:vAlign w:val="bottom"/>
                  <w:hideMark/>
                </w:tcPr>
                <w:p w14:paraId="64A6DD0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(2.70,3.71)</w:t>
                  </w:r>
                </w:p>
              </w:tc>
              <w:tc>
                <w:tcPr>
                  <w:tcW w:w="582" w:type="dxa"/>
                  <w:tcBorders>
                    <w:top w:val="nil"/>
                    <w:left w:val="nil"/>
                    <w:bottom w:val="nil"/>
                    <w:right w:val="nil"/>
                  </w:tcBorders>
                  <w:shd w:val="clear" w:color="auto" w:fill="auto"/>
                  <w:noWrap/>
                  <w:vAlign w:val="bottom"/>
                  <w:hideMark/>
                </w:tcPr>
                <w:p w14:paraId="707A77E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2.58</w:t>
                  </w:r>
                </w:p>
              </w:tc>
              <w:tc>
                <w:tcPr>
                  <w:tcW w:w="1162" w:type="dxa"/>
                  <w:tcBorders>
                    <w:top w:val="nil"/>
                    <w:left w:val="nil"/>
                    <w:bottom w:val="nil"/>
                    <w:right w:val="single" w:sz="4" w:space="0" w:color="auto"/>
                  </w:tcBorders>
                  <w:shd w:val="clear" w:color="auto" w:fill="auto"/>
                  <w:noWrap/>
                  <w:vAlign w:val="bottom"/>
                  <w:hideMark/>
                </w:tcPr>
                <w:p w14:paraId="2557171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(1.94,2.80) </w:t>
                  </w:r>
                </w:p>
              </w:tc>
            </w:tr>
            <w:tr w:rsidR="00B9388C" w:rsidRPr="00B9388C" w14:paraId="1BBA55AC"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1BEFBC8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8</w:t>
                  </w:r>
                </w:p>
              </w:tc>
              <w:tc>
                <w:tcPr>
                  <w:tcW w:w="2060" w:type="dxa"/>
                  <w:tcBorders>
                    <w:top w:val="nil"/>
                    <w:left w:val="nil"/>
                    <w:bottom w:val="nil"/>
                    <w:right w:val="single" w:sz="4" w:space="0" w:color="auto"/>
                  </w:tcBorders>
                  <w:shd w:val="clear" w:color="auto" w:fill="auto"/>
                  <w:noWrap/>
                  <w:vAlign w:val="bottom"/>
                  <w:hideMark/>
                </w:tcPr>
                <w:p w14:paraId="57209CAC" w14:textId="7B873986"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Model A6 sp. </w:t>
                  </w:r>
                  <w:r w:rsidR="00307433">
                    <w:rPr>
                      <w:rFonts w:ascii="Arial" w:eastAsia="Times New Roman" w:hAnsi="Arial" w:cs="Arial"/>
                      <w:sz w:val="18"/>
                      <w:szCs w:val="18"/>
                      <w:lang w:eastAsia="en-ZA"/>
                    </w:rPr>
                    <w:t>s</w:t>
                  </w:r>
                  <w:r w:rsidRPr="00B9388C">
                    <w:rPr>
                      <w:rFonts w:ascii="Arial" w:eastAsia="Times New Roman" w:hAnsi="Arial" w:cs="Arial"/>
                      <w:sz w:val="18"/>
                      <w:szCs w:val="18"/>
                      <w:lang w:eastAsia="en-ZA"/>
                    </w:rPr>
                    <w:t>plitting</w:t>
                  </w:r>
                </w:p>
              </w:tc>
              <w:tc>
                <w:tcPr>
                  <w:tcW w:w="700" w:type="dxa"/>
                  <w:vMerge/>
                  <w:tcBorders>
                    <w:top w:val="single" w:sz="4" w:space="0" w:color="auto"/>
                    <w:left w:val="single" w:sz="4" w:space="0" w:color="auto"/>
                    <w:bottom w:val="single" w:sz="4" w:space="0" w:color="000000"/>
                    <w:right w:val="nil"/>
                  </w:tcBorders>
                  <w:vAlign w:val="center"/>
                  <w:hideMark/>
                </w:tcPr>
                <w:p w14:paraId="19276893"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nil"/>
                    <w:right w:val="single" w:sz="4" w:space="0" w:color="auto"/>
                  </w:tcBorders>
                  <w:shd w:val="clear" w:color="auto" w:fill="auto"/>
                  <w:noWrap/>
                  <w:vAlign w:val="bottom"/>
                  <w:hideMark/>
                </w:tcPr>
                <w:p w14:paraId="17E38D1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0FA7B1D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2.23</w:t>
                  </w:r>
                </w:p>
              </w:tc>
              <w:tc>
                <w:tcPr>
                  <w:tcW w:w="1168" w:type="dxa"/>
                  <w:tcBorders>
                    <w:top w:val="nil"/>
                    <w:left w:val="nil"/>
                    <w:bottom w:val="nil"/>
                    <w:right w:val="nil"/>
                  </w:tcBorders>
                  <w:shd w:val="clear" w:color="auto" w:fill="auto"/>
                  <w:noWrap/>
                  <w:vAlign w:val="bottom"/>
                  <w:hideMark/>
                </w:tcPr>
                <w:p w14:paraId="2F5DADA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(1.26,3.70)</w:t>
                  </w:r>
                </w:p>
              </w:tc>
              <w:tc>
                <w:tcPr>
                  <w:tcW w:w="784" w:type="dxa"/>
                  <w:tcBorders>
                    <w:top w:val="nil"/>
                    <w:left w:val="nil"/>
                    <w:bottom w:val="nil"/>
                    <w:right w:val="nil"/>
                  </w:tcBorders>
                  <w:shd w:val="clear" w:color="auto" w:fill="auto"/>
                  <w:noWrap/>
                  <w:vAlign w:val="bottom"/>
                  <w:hideMark/>
                </w:tcPr>
                <w:p w14:paraId="37DC2D9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2.35</w:t>
                  </w:r>
                </w:p>
              </w:tc>
              <w:tc>
                <w:tcPr>
                  <w:tcW w:w="1200" w:type="dxa"/>
                  <w:tcBorders>
                    <w:top w:val="nil"/>
                    <w:left w:val="nil"/>
                    <w:bottom w:val="nil"/>
                    <w:right w:val="nil"/>
                  </w:tcBorders>
                  <w:shd w:val="clear" w:color="auto" w:fill="auto"/>
                  <w:noWrap/>
                  <w:vAlign w:val="bottom"/>
                  <w:hideMark/>
                </w:tcPr>
                <w:p w14:paraId="14CD199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(1.37,3.70)</w:t>
                  </w:r>
                </w:p>
              </w:tc>
              <w:tc>
                <w:tcPr>
                  <w:tcW w:w="752" w:type="dxa"/>
                  <w:tcBorders>
                    <w:top w:val="nil"/>
                    <w:left w:val="nil"/>
                    <w:bottom w:val="nil"/>
                    <w:right w:val="nil"/>
                  </w:tcBorders>
                  <w:shd w:val="clear" w:color="auto" w:fill="auto"/>
                  <w:noWrap/>
                  <w:vAlign w:val="bottom"/>
                  <w:hideMark/>
                </w:tcPr>
                <w:p w14:paraId="1B5AE69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1.47</w:t>
                  </w:r>
                </w:p>
              </w:tc>
              <w:tc>
                <w:tcPr>
                  <w:tcW w:w="1237" w:type="dxa"/>
                  <w:tcBorders>
                    <w:top w:val="nil"/>
                    <w:left w:val="nil"/>
                    <w:bottom w:val="nil"/>
                    <w:right w:val="nil"/>
                  </w:tcBorders>
                  <w:shd w:val="clear" w:color="auto" w:fill="auto"/>
                  <w:noWrap/>
                  <w:vAlign w:val="bottom"/>
                  <w:hideMark/>
                </w:tcPr>
                <w:p w14:paraId="094CB53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(1.03,1.93)</w:t>
                  </w:r>
                </w:p>
              </w:tc>
              <w:tc>
                <w:tcPr>
                  <w:tcW w:w="582" w:type="dxa"/>
                  <w:tcBorders>
                    <w:top w:val="nil"/>
                    <w:left w:val="single" w:sz="4" w:space="0" w:color="auto"/>
                    <w:bottom w:val="nil"/>
                    <w:right w:val="nil"/>
                  </w:tcBorders>
                  <w:shd w:val="clear" w:color="auto" w:fill="auto"/>
                  <w:noWrap/>
                  <w:vAlign w:val="bottom"/>
                  <w:hideMark/>
                </w:tcPr>
                <w:p w14:paraId="5ED1366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2.85</w:t>
                  </w:r>
                </w:p>
              </w:tc>
              <w:tc>
                <w:tcPr>
                  <w:tcW w:w="1237" w:type="dxa"/>
                  <w:tcBorders>
                    <w:top w:val="nil"/>
                    <w:left w:val="nil"/>
                    <w:bottom w:val="nil"/>
                    <w:right w:val="nil"/>
                  </w:tcBorders>
                  <w:shd w:val="clear" w:color="auto" w:fill="auto"/>
                  <w:noWrap/>
                  <w:vAlign w:val="bottom"/>
                  <w:hideMark/>
                </w:tcPr>
                <w:p w14:paraId="1B21006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(1.75,4.40)</w:t>
                  </w:r>
                </w:p>
              </w:tc>
              <w:tc>
                <w:tcPr>
                  <w:tcW w:w="582" w:type="dxa"/>
                  <w:tcBorders>
                    <w:top w:val="nil"/>
                    <w:left w:val="nil"/>
                    <w:bottom w:val="nil"/>
                    <w:right w:val="nil"/>
                  </w:tcBorders>
                  <w:shd w:val="clear" w:color="auto" w:fill="auto"/>
                  <w:noWrap/>
                  <w:vAlign w:val="bottom"/>
                  <w:hideMark/>
                </w:tcPr>
                <w:p w14:paraId="5C1A753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2.92</w:t>
                  </w:r>
                </w:p>
              </w:tc>
              <w:tc>
                <w:tcPr>
                  <w:tcW w:w="1237" w:type="dxa"/>
                  <w:tcBorders>
                    <w:top w:val="nil"/>
                    <w:left w:val="nil"/>
                    <w:bottom w:val="nil"/>
                    <w:right w:val="nil"/>
                  </w:tcBorders>
                  <w:shd w:val="clear" w:color="auto" w:fill="auto"/>
                  <w:noWrap/>
                  <w:vAlign w:val="bottom"/>
                  <w:hideMark/>
                </w:tcPr>
                <w:p w14:paraId="7E0ED4F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(2.57,3.47)</w:t>
                  </w:r>
                </w:p>
              </w:tc>
              <w:tc>
                <w:tcPr>
                  <w:tcW w:w="582" w:type="dxa"/>
                  <w:tcBorders>
                    <w:top w:val="nil"/>
                    <w:left w:val="nil"/>
                    <w:bottom w:val="nil"/>
                    <w:right w:val="nil"/>
                  </w:tcBorders>
                  <w:shd w:val="clear" w:color="auto" w:fill="auto"/>
                  <w:noWrap/>
                  <w:vAlign w:val="bottom"/>
                  <w:hideMark/>
                </w:tcPr>
                <w:p w14:paraId="1A0C940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2.18</w:t>
                  </w:r>
                </w:p>
              </w:tc>
              <w:tc>
                <w:tcPr>
                  <w:tcW w:w="1162" w:type="dxa"/>
                  <w:tcBorders>
                    <w:top w:val="nil"/>
                    <w:left w:val="nil"/>
                    <w:bottom w:val="nil"/>
                    <w:right w:val="single" w:sz="4" w:space="0" w:color="auto"/>
                  </w:tcBorders>
                  <w:shd w:val="clear" w:color="auto" w:fill="auto"/>
                  <w:noWrap/>
                  <w:vAlign w:val="bottom"/>
                  <w:hideMark/>
                </w:tcPr>
                <w:p w14:paraId="6F97559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(1.58,2.61) </w:t>
                  </w:r>
                </w:p>
              </w:tc>
            </w:tr>
            <w:tr w:rsidR="00B9388C" w:rsidRPr="00B9388C" w14:paraId="2C9848A5" w14:textId="77777777" w:rsidTr="00B9388C">
              <w:trPr>
                <w:trHeight w:val="255"/>
              </w:trPr>
              <w:tc>
                <w:tcPr>
                  <w:tcW w:w="417" w:type="dxa"/>
                  <w:tcBorders>
                    <w:top w:val="nil"/>
                    <w:left w:val="single" w:sz="4" w:space="0" w:color="auto"/>
                    <w:bottom w:val="nil"/>
                    <w:right w:val="nil"/>
                  </w:tcBorders>
                  <w:shd w:val="clear" w:color="auto" w:fill="auto"/>
                  <w:noWrap/>
                  <w:vAlign w:val="bottom"/>
                  <w:hideMark/>
                </w:tcPr>
                <w:p w14:paraId="567571B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9</w:t>
                  </w:r>
                </w:p>
              </w:tc>
              <w:tc>
                <w:tcPr>
                  <w:tcW w:w="2060" w:type="dxa"/>
                  <w:tcBorders>
                    <w:top w:val="nil"/>
                    <w:left w:val="nil"/>
                    <w:bottom w:val="nil"/>
                    <w:right w:val="single" w:sz="4" w:space="0" w:color="auto"/>
                  </w:tcBorders>
                  <w:shd w:val="clear" w:color="auto" w:fill="auto"/>
                  <w:noWrap/>
                  <w:vAlign w:val="bottom"/>
                  <w:hideMark/>
                </w:tcPr>
                <w:p w14:paraId="729939B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Decrease past K</w:t>
                  </w:r>
                </w:p>
              </w:tc>
              <w:tc>
                <w:tcPr>
                  <w:tcW w:w="700" w:type="dxa"/>
                  <w:vMerge/>
                  <w:tcBorders>
                    <w:top w:val="single" w:sz="4" w:space="0" w:color="auto"/>
                    <w:left w:val="single" w:sz="4" w:space="0" w:color="auto"/>
                    <w:bottom w:val="single" w:sz="4" w:space="0" w:color="000000"/>
                    <w:right w:val="nil"/>
                  </w:tcBorders>
                  <w:vAlign w:val="center"/>
                  <w:hideMark/>
                </w:tcPr>
                <w:p w14:paraId="7B4854C8"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nil"/>
                    <w:right w:val="single" w:sz="4" w:space="0" w:color="auto"/>
                  </w:tcBorders>
                  <w:shd w:val="clear" w:color="auto" w:fill="auto"/>
                  <w:noWrap/>
                  <w:vAlign w:val="bottom"/>
                  <w:hideMark/>
                </w:tcPr>
                <w:p w14:paraId="20E9701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nil"/>
                    <w:right w:val="nil"/>
                  </w:tcBorders>
                  <w:shd w:val="clear" w:color="auto" w:fill="auto"/>
                  <w:noWrap/>
                  <w:vAlign w:val="bottom"/>
                  <w:hideMark/>
                </w:tcPr>
                <w:p w14:paraId="367F2BA8"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3.65</w:t>
                  </w:r>
                </w:p>
              </w:tc>
              <w:tc>
                <w:tcPr>
                  <w:tcW w:w="1168" w:type="dxa"/>
                  <w:tcBorders>
                    <w:top w:val="nil"/>
                    <w:left w:val="nil"/>
                    <w:bottom w:val="nil"/>
                    <w:right w:val="nil"/>
                  </w:tcBorders>
                  <w:shd w:val="clear" w:color="auto" w:fill="auto"/>
                  <w:noWrap/>
                  <w:vAlign w:val="bottom"/>
                  <w:hideMark/>
                </w:tcPr>
                <w:p w14:paraId="47BA901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(1.89,6.02)</w:t>
                  </w:r>
                </w:p>
              </w:tc>
              <w:tc>
                <w:tcPr>
                  <w:tcW w:w="784" w:type="dxa"/>
                  <w:tcBorders>
                    <w:top w:val="nil"/>
                    <w:left w:val="nil"/>
                    <w:bottom w:val="nil"/>
                    <w:right w:val="nil"/>
                  </w:tcBorders>
                  <w:shd w:val="clear" w:color="auto" w:fill="auto"/>
                  <w:noWrap/>
                  <w:vAlign w:val="bottom"/>
                  <w:hideMark/>
                </w:tcPr>
                <w:p w14:paraId="5B35B35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3.67</w:t>
                  </w:r>
                </w:p>
              </w:tc>
              <w:tc>
                <w:tcPr>
                  <w:tcW w:w="1200" w:type="dxa"/>
                  <w:tcBorders>
                    <w:top w:val="nil"/>
                    <w:left w:val="nil"/>
                    <w:bottom w:val="nil"/>
                    <w:right w:val="nil"/>
                  </w:tcBorders>
                  <w:shd w:val="clear" w:color="auto" w:fill="auto"/>
                  <w:noWrap/>
                  <w:vAlign w:val="bottom"/>
                  <w:hideMark/>
                </w:tcPr>
                <w:p w14:paraId="362D0DC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(1.88,6.01)</w:t>
                  </w:r>
                </w:p>
              </w:tc>
              <w:tc>
                <w:tcPr>
                  <w:tcW w:w="752" w:type="dxa"/>
                  <w:tcBorders>
                    <w:top w:val="nil"/>
                    <w:left w:val="nil"/>
                    <w:bottom w:val="nil"/>
                    <w:right w:val="nil"/>
                  </w:tcBorders>
                  <w:shd w:val="clear" w:color="auto" w:fill="auto"/>
                  <w:noWrap/>
                  <w:vAlign w:val="bottom"/>
                  <w:hideMark/>
                </w:tcPr>
                <w:p w14:paraId="797685F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2.14</w:t>
                  </w:r>
                </w:p>
              </w:tc>
              <w:tc>
                <w:tcPr>
                  <w:tcW w:w="1237" w:type="dxa"/>
                  <w:tcBorders>
                    <w:top w:val="nil"/>
                    <w:left w:val="nil"/>
                    <w:bottom w:val="nil"/>
                    <w:right w:val="nil"/>
                  </w:tcBorders>
                  <w:shd w:val="clear" w:color="auto" w:fill="auto"/>
                  <w:noWrap/>
                  <w:vAlign w:val="bottom"/>
                  <w:hideMark/>
                </w:tcPr>
                <w:p w14:paraId="52FDA26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(1.49,2.94)</w:t>
                  </w:r>
                </w:p>
              </w:tc>
              <w:tc>
                <w:tcPr>
                  <w:tcW w:w="582" w:type="dxa"/>
                  <w:tcBorders>
                    <w:top w:val="nil"/>
                    <w:left w:val="single" w:sz="4" w:space="0" w:color="auto"/>
                    <w:bottom w:val="nil"/>
                    <w:right w:val="nil"/>
                  </w:tcBorders>
                  <w:shd w:val="clear" w:color="auto" w:fill="auto"/>
                  <w:noWrap/>
                  <w:vAlign w:val="bottom"/>
                  <w:hideMark/>
                </w:tcPr>
                <w:p w14:paraId="674B3AA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2.54</w:t>
                  </w:r>
                </w:p>
              </w:tc>
              <w:tc>
                <w:tcPr>
                  <w:tcW w:w="1237" w:type="dxa"/>
                  <w:tcBorders>
                    <w:top w:val="nil"/>
                    <w:left w:val="nil"/>
                    <w:bottom w:val="nil"/>
                    <w:right w:val="nil"/>
                  </w:tcBorders>
                  <w:shd w:val="clear" w:color="auto" w:fill="auto"/>
                  <w:noWrap/>
                  <w:vAlign w:val="bottom"/>
                  <w:hideMark/>
                </w:tcPr>
                <w:p w14:paraId="4C16FE1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(1.31,4.18)</w:t>
                  </w:r>
                </w:p>
              </w:tc>
              <w:tc>
                <w:tcPr>
                  <w:tcW w:w="582" w:type="dxa"/>
                  <w:tcBorders>
                    <w:top w:val="nil"/>
                    <w:left w:val="nil"/>
                    <w:bottom w:val="nil"/>
                    <w:right w:val="nil"/>
                  </w:tcBorders>
                  <w:shd w:val="clear" w:color="auto" w:fill="auto"/>
                  <w:noWrap/>
                  <w:vAlign w:val="bottom"/>
                  <w:hideMark/>
                </w:tcPr>
                <w:p w14:paraId="291E091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2.55</w:t>
                  </w:r>
                </w:p>
              </w:tc>
              <w:tc>
                <w:tcPr>
                  <w:tcW w:w="1237" w:type="dxa"/>
                  <w:tcBorders>
                    <w:top w:val="nil"/>
                    <w:left w:val="nil"/>
                    <w:bottom w:val="nil"/>
                    <w:right w:val="nil"/>
                  </w:tcBorders>
                  <w:shd w:val="clear" w:color="auto" w:fill="auto"/>
                  <w:noWrap/>
                  <w:vAlign w:val="bottom"/>
                  <w:hideMark/>
                </w:tcPr>
                <w:p w14:paraId="004F068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(1.30,4.18)</w:t>
                  </w:r>
                </w:p>
              </w:tc>
              <w:tc>
                <w:tcPr>
                  <w:tcW w:w="582" w:type="dxa"/>
                  <w:tcBorders>
                    <w:top w:val="nil"/>
                    <w:left w:val="nil"/>
                    <w:bottom w:val="nil"/>
                    <w:right w:val="nil"/>
                  </w:tcBorders>
                  <w:shd w:val="clear" w:color="auto" w:fill="auto"/>
                  <w:noWrap/>
                  <w:vAlign w:val="bottom"/>
                  <w:hideMark/>
                </w:tcPr>
                <w:p w14:paraId="72B94C3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1.49</w:t>
                  </w:r>
                </w:p>
              </w:tc>
              <w:tc>
                <w:tcPr>
                  <w:tcW w:w="1162" w:type="dxa"/>
                  <w:tcBorders>
                    <w:top w:val="nil"/>
                    <w:left w:val="nil"/>
                    <w:bottom w:val="nil"/>
                    <w:right w:val="single" w:sz="4" w:space="0" w:color="auto"/>
                  </w:tcBorders>
                  <w:shd w:val="clear" w:color="auto" w:fill="auto"/>
                  <w:noWrap/>
                  <w:vAlign w:val="bottom"/>
                  <w:hideMark/>
                </w:tcPr>
                <w:p w14:paraId="49ADD38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(1.03,2.04) </w:t>
                  </w:r>
                </w:p>
              </w:tc>
            </w:tr>
            <w:tr w:rsidR="00B9388C" w:rsidRPr="00B9388C" w14:paraId="717E4C62" w14:textId="77777777" w:rsidTr="00B9388C">
              <w:trPr>
                <w:trHeight w:val="255"/>
              </w:trPr>
              <w:tc>
                <w:tcPr>
                  <w:tcW w:w="417" w:type="dxa"/>
                  <w:tcBorders>
                    <w:top w:val="nil"/>
                    <w:left w:val="single" w:sz="4" w:space="0" w:color="auto"/>
                    <w:bottom w:val="single" w:sz="4" w:space="0" w:color="auto"/>
                    <w:right w:val="nil"/>
                  </w:tcBorders>
                  <w:shd w:val="clear" w:color="auto" w:fill="auto"/>
                  <w:noWrap/>
                  <w:vAlign w:val="bottom"/>
                  <w:hideMark/>
                </w:tcPr>
                <w:p w14:paraId="6927A5A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10</w:t>
                  </w:r>
                </w:p>
              </w:tc>
              <w:tc>
                <w:tcPr>
                  <w:tcW w:w="2060" w:type="dxa"/>
                  <w:tcBorders>
                    <w:top w:val="nil"/>
                    <w:left w:val="nil"/>
                    <w:bottom w:val="single" w:sz="4" w:space="0" w:color="auto"/>
                    <w:right w:val="single" w:sz="4" w:space="0" w:color="auto"/>
                  </w:tcBorders>
                  <w:shd w:val="clear" w:color="auto" w:fill="auto"/>
                  <w:noWrap/>
                  <w:vAlign w:val="bottom"/>
                  <w:hideMark/>
                </w:tcPr>
                <w:p w14:paraId="310BBF7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Decrease Future K</w:t>
                  </w:r>
                </w:p>
              </w:tc>
              <w:tc>
                <w:tcPr>
                  <w:tcW w:w="700" w:type="dxa"/>
                  <w:vMerge/>
                  <w:tcBorders>
                    <w:top w:val="single" w:sz="4" w:space="0" w:color="auto"/>
                    <w:left w:val="single" w:sz="4" w:space="0" w:color="auto"/>
                    <w:bottom w:val="single" w:sz="4" w:space="0" w:color="000000"/>
                    <w:right w:val="nil"/>
                  </w:tcBorders>
                  <w:vAlign w:val="center"/>
                  <w:hideMark/>
                </w:tcPr>
                <w:p w14:paraId="2ABD9F29"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932" w:type="dxa"/>
                  <w:tcBorders>
                    <w:top w:val="nil"/>
                    <w:left w:val="nil"/>
                    <w:bottom w:val="single" w:sz="4" w:space="0" w:color="auto"/>
                    <w:right w:val="single" w:sz="4" w:space="0" w:color="auto"/>
                  </w:tcBorders>
                  <w:shd w:val="clear" w:color="auto" w:fill="auto"/>
                  <w:noWrap/>
                  <w:vAlign w:val="bottom"/>
                  <w:hideMark/>
                </w:tcPr>
                <w:p w14:paraId="478FBAB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567" w:type="dxa"/>
                  <w:tcBorders>
                    <w:top w:val="nil"/>
                    <w:left w:val="nil"/>
                    <w:bottom w:val="single" w:sz="4" w:space="0" w:color="auto"/>
                    <w:right w:val="nil"/>
                  </w:tcBorders>
                  <w:shd w:val="clear" w:color="auto" w:fill="auto"/>
                  <w:noWrap/>
                  <w:vAlign w:val="bottom"/>
                  <w:hideMark/>
                </w:tcPr>
                <w:p w14:paraId="6FF9E71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2.77</w:t>
                  </w:r>
                </w:p>
              </w:tc>
              <w:tc>
                <w:tcPr>
                  <w:tcW w:w="1168" w:type="dxa"/>
                  <w:tcBorders>
                    <w:top w:val="nil"/>
                    <w:left w:val="nil"/>
                    <w:bottom w:val="single" w:sz="4" w:space="0" w:color="auto"/>
                    <w:right w:val="nil"/>
                  </w:tcBorders>
                  <w:shd w:val="clear" w:color="auto" w:fill="auto"/>
                  <w:noWrap/>
                  <w:vAlign w:val="bottom"/>
                  <w:hideMark/>
                </w:tcPr>
                <w:p w14:paraId="612493C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(1.45,4.57)</w:t>
                  </w:r>
                </w:p>
              </w:tc>
              <w:tc>
                <w:tcPr>
                  <w:tcW w:w="784" w:type="dxa"/>
                  <w:tcBorders>
                    <w:top w:val="nil"/>
                    <w:left w:val="nil"/>
                    <w:bottom w:val="single" w:sz="4" w:space="0" w:color="auto"/>
                    <w:right w:val="nil"/>
                  </w:tcBorders>
                  <w:shd w:val="clear" w:color="auto" w:fill="auto"/>
                  <w:noWrap/>
                  <w:vAlign w:val="bottom"/>
                  <w:hideMark/>
                </w:tcPr>
                <w:p w14:paraId="5345714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2.85</w:t>
                  </w:r>
                </w:p>
              </w:tc>
              <w:tc>
                <w:tcPr>
                  <w:tcW w:w="1200" w:type="dxa"/>
                  <w:tcBorders>
                    <w:top w:val="nil"/>
                    <w:left w:val="nil"/>
                    <w:bottom w:val="single" w:sz="4" w:space="0" w:color="auto"/>
                    <w:right w:val="nil"/>
                  </w:tcBorders>
                  <w:shd w:val="clear" w:color="auto" w:fill="auto"/>
                  <w:noWrap/>
                  <w:vAlign w:val="bottom"/>
                  <w:hideMark/>
                </w:tcPr>
                <w:p w14:paraId="2A17E85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(1.58,4.80)</w:t>
                  </w:r>
                </w:p>
              </w:tc>
              <w:tc>
                <w:tcPr>
                  <w:tcW w:w="752" w:type="dxa"/>
                  <w:tcBorders>
                    <w:top w:val="nil"/>
                    <w:left w:val="nil"/>
                    <w:bottom w:val="single" w:sz="4" w:space="0" w:color="auto"/>
                    <w:right w:val="nil"/>
                  </w:tcBorders>
                  <w:shd w:val="clear" w:color="auto" w:fill="auto"/>
                  <w:noWrap/>
                  <w:vAlign w:val="bottom"/>
                  <w:hideMark/>
                </w:tcPr>
                <w:p w14:paraId="723A38B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1.48</w:t>
                  </w:r>
                </w:p>
              </w:tc>
              <w:tc>
                <w:tcPr>
                  <w:tcW w:w="1237" w:type="dxa"/>
                  <w:tcBorders>
                    <w:top w:val="nil"/>
                    <w:left w:val="nil"/>
                    <w:bottom w:val="single" w:sz="4" w:space="0" w:color="auto"/>
                    <w:right w:val="nil"/>
                  </w:tcBorders>
                  <w:shd w:val="clear" w:color="auto" w:fill="auto"/>
                  <w:noWrap/>
                  <w:vAlign w:val="bottom"/>
                  <w:hideMark/>
                </w:tcPr>
                <w:p w14:paraId="3E9F754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(1.07,2.06)</w:t>
                  </w:r>
                </w:p>
              </w:tc>
              <w:tc>
                <w:tcPr>
                  <w:tcW w:w="582" w:type="dxa"/>
                  <w:tcBorders>
                    <w:top w:val="nil"/>
                    <w:left w:val="single" w:sz="4" w:space="0" w:color="auto"/>
                    <w:bottom w:val="single" w:sz="4" w:space="0" w:color="auto"/>
                    <w:right w:val="nil"/>
                  </w:tcBorders>
                  <w:shd w:val="clear" w:color="auto" w:fill="auto"/>
                  <w:noWrap/>
                  <w:vAlign w:val="bottom"/>
                  <w:hideMark/>
                </w:tcPr>
                <w:p w14:paraId="06636E6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1.78</w:t>
                  </w:r>
                </w:p>
              </w:tc>
              <w:tc>
                <w:tcPr>
                  <w:tcW w:w="1237" w:type="dxa"/>
                  <w:tcBorders>
                    <w:top w:val="nil"/>
                    <w:left w:val="nil"/>
                    <w:bottom w:val="single" w:sz="4" w:space="0" w:color="auto"/>
                    <w:right w:val="nil"/>
                  </w:tcBorders>
                  <w:shd w:val="clear" w:color="auto" w:fill="auto"/>
                  <w:noWrap/>
                  <w:vAlign w:val="bottom"/>
                  <w:hideMark/>
                </w:tcPr>
                <w:p w14:paraId="2F901D9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(0.93,2.94)</w:t>
                  </w:r>
                </w:p>
              </w:tc>
              <w:tc>
                <w:tcPr>
                  <w:tcW w:w="582" w:type="dxa"/>
                  <w:tcBorders>
                    <w:top w:val="nil"/>
                    <w:left w:val="nil"/>
                    <w:bottom w:val="single" w:sz="4" w:space="0" w:color="auto"/>
                    <w:right w:val="nil"/>
                  </w:tcBorders>
                  <w:shd w:val="clear" w:color="auto" w:fill="auto"/>
                  <w:noWrap/>
                  <w:vAlign w:val="bottom"/>
                  <w:hideMark/>
                </w:tcPr>
                <w:p w14:paraId="46CB38F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1.83</w:t>
                  </w:r>
                </w:p>
              </w:tc>
              <w:tc>
                <w:tcPr>
                  <w:tcW w:w="1237" w:type="dxa"/>
                  <w:tcBorders>
                    <w:top w:val="nil"/>
                    <w:left w:val="nil"/>
                    <w:bottom w:val="single" w:sz="4" w:space="0" w:color="auto"/>
                    <w:right w:val="nil"/>
                  </w:tcBorders>
                  <w:shd w:val="clear" w:color="auto" w:fill="auto"/>
                  <w:noWrap/>
                  <w:vAlign w:val="bottom"/>
                  <w:hideMark/>
                </w:tcPr>
                <w:p w14:paraId="7D54334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(1.02,3.09)</w:t>
                  </w:r>
                </w:p>
              </w:tc>
              <w:tc>
                <w:tcPr>
                  <w:tcW w:w="582" w:type="dxa"/>
                  <w:tcBorders>
                    <w:top w:val="nil"/>
                    <w:left w:val="nil"/>
                    <w:bottom w:val="single" w:sz="4" w:space="0" w:color="auto"/>
                    <w:right w:val="nil"/>
                  </w:tcBorders>
                  <w:shd w:val="clear" w:color="auto" w:fill="auto"/>
                  <w:noWrap/>
                  <w:vAlign w:val="bottom"/>
                  <w:hideMark/>
                </w:tcPr>
                <w:p w14:paraId="2240918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0.95</w:t>
                  </w:r>
                </w:p>
              </w:tc>
              <w:tc>
                <w:tcPr>
                  <w:tcW w:w="1162" w:type="dxa"/>
                  <w:tcBorders>
                    <w:top w:val="nil"/>
                    <w:left w:val="nil"/>
                    <w:bottom w:val="single" w:sz="4" w:space="0" w:color="auto"/>
                    <w:right w:val="single" w:sz="4" w:space="0" w:color="auto"/>
                  </w:tcBorders>
                  <w:shd w:val="clear" w:color="auto" w:fill="auto"/>
                  <w:noWrap/>
                  <w:vAlign w:val="bottom"/>
                  <w:hideMark/>
                </w:tcPr>
                <w:p w14:paraId="221A997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(0.69,1.32) </w:t>
                  </w:r>
                </w:p>
              </w:tc>
            </w:tr>
          </w:tbl>
          <w:p w14:paraId="779C2435" w14:textId="77777777" w:rsidR="00166185" w:rsidRDefault="00166185" w:rsidP="00B05FB8"/>
        </w:tc>
      </w:tr>
    </w:tbl>
    <w:p w14:paraId="7F2D1DA3" w14:textId="1D693384" w:rsidR="00E636FB" w:rsidRDefault="00E636FB" w:rsidP="009D224E"/>
    <w:p w14:paraId="67EA1409" w14:textId="77777777" w:rsidR="00E636FB" w:rsidRDefault="00E636FB">
      <w:r>
        <w:br w:type="page"/>
      </w:r>
    </w:p>
    <w:tbl>
      <w:tblPr>
        <w:tblStyle w:val="TableGrid"/>
        <w:tblW w:w="1445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459"/>
      </w:tblGrid>
      <w:tr w:rsidR="00495BFA" w:rsidRPr="00013C02" w14:paraId="4F9EB358" w14:textId="77777777" w:rsidTr="00FF7098">
        <w:trPr>
          <w:jc w:val="center"/>
        </w:trPr>
        <w:tc>
          <w:tcPr>
            <w:tcW w:w="14459" w:type="dxa"/>
          </w:tcPr>
          <w:p w14:paraId="21BFA160" w14:textId="3BA408EC" w:rsidR="00495BFA" w:rsidRPr="00013C02" w:rsidRDefault="00495BFA" w:rsidP="009C776F">
            <w:pPr>
              <w:spacing w:after="120"/>
              <w:ind w:left="748" w:hanging="748"/>
              <w:jc w:val="both"/>
              <w:rPr>
                <w:b/>
                <w:szCs w:val="20"/>
              </w:rPr>
            </w:pPr>
            <w:r>
              <w:rPr>
                <w:b/>
                <w:szCs w:val="20"/>
              </w:rPr>
              <w:lastRenderedPageBreak/>
              <w:fldChar w:fldCharType="begin"/>
            </w:r>
            <w:r>
              <w:rPr>
                <w:szCs w:val="20"/>
              </w:rPr>
              <w:instrText xml:space="preserve"> REF _Ref526364745 \h </w:instrText>
            </w:r>
            <w:r w:rsidR="00FF7098">
              <w:rPr>
                <w:b/>
                <w:szCs w:val="20"/>
              </w:rPr>
              <w:instrText xml:space="preserve"> \* MERGEFORMAT </w:instrText>
            </w:r>
            <w:r>
              <w:rPr>
                <w:b/>
                <w:szCs w:val="20"/>
              </w:rPr>
            </w:r>
            <w:r>
              <w:rPr>
                <w:b/>
                <w:szCs w:val="20"/>
              </w:rPr>
              <w:fldChar w:fldCharType="separate"/>
            </w:r>
            <w:r w:rsidR="00FF7098" w:rsidRPr="00013C02">
              <w:rPr>
                <w:b/>
                <w:szCs w:val="20"/>
              </w:rPr>
              <w:t xml:space="preserve">Table </w:t>
            </w:r>
            <w:r w:rsidR="00FF7098">
              <w:rPr>
                <w:b/>
                <w:noProof/>
                <w:szCs w:val="20"/>
              </w:rPr>
              <w:t>1</w:t>
            </w:r>
            <w:r>
              <w:rPr>
                <w:b/>
                <w:szCs w:val="20"/>
              </w:rPr>
              <w:fldChar w:fldCharType="end"/>
            </w:r>
            <w:r>
              <w:rPr>
                <w:b/>
                <w:szCs w:val="20"/>
              </w:rPr>
              <w:t xml:space="preserve">b: </w:t>
            </w:r>
            <w:r w:rsidR="009C776F">
              <w:rPr>
                <w:szCs w:val="20"/>
              </w:rPr>
              <w:t xml:space="preserve">Continuation of the performance statistics from </w:t>
            </w:r>
            <w:r w:rsidR="009C776F" w:rsidRPr="009C776F">
              <w:rPr>
                <w:szCs w:val="20"/>
              </w:rPr>
              <w:fldChar w:fldCharType="begin"/>
            </w:r>
            <w:r w:rsidR="009C776F" w:rsidRPr="009C776F">
              <w:rPr>
                <w:szCs w:val="20"/>
              </w:rPr>
              <w:instrText xml:space="preserve"> REF _Ref526364745 \h  \* MERGEFORMAT </w:instrText>
            </w:r>
            <w:r w:rsidR="009C776F" w:rsidRPr="009C776F">
              <w:rPr>
                <w:szCs w:val="20"/>
              </w:rPr>
            </w:r>
            <w:r w:rsidR="009C776F" w:rsidRPr="009C776F">
              <w:rPr>
                <w:szCs w:val="20"/>
              </w:rPr>
              <w:fldChar w:fldCharType="separate"/>
            </w:r>
            <w:r w:rsidR="00FF7098" w:rsidRPr="00FF7098">
              <w:rPr>
                <w:szCs w:val="20"/>
              </w:rPr>
              <w:t xml:space="preserve">Table </w:t>
            </w:r>
            <w:r w:rsidR="00FF7098" w:rsidRPr="00FF7098">
              <w:rPr>
                <w:noProof/>
                <w:szCs w:val="20"/>
              </w:rPr>
              <w:t>1</w:t>
            </w:r>
            <w:r w:rsidR="009C776F" w:rsidRPr="009C776F">
              <w:rPr>
                <w:szCs w:val="20"/>
              </w:rPr>
              <w:fldChar w:fldCharType="end"/>
            </w:r>
            <w:r w:rsidR="009C776F" w:rsidRPr="009C776F">
              <w:rPr>
                <w:szCs w:val="20"/>
              </w:rPr>
              <w:t>a</w:t>
            </w:r>
            <w:r w:rsidR="009C776F">
              <w:rPr>
                <w:szCs w:val="20"/>
              </w:rPr>
              <w:t>, listing the catch related performance statistics.</w:t>
            </w:r>
            <w:r w:rsidR="000D75F2" w:rsidRPr="004A3E1E">
              <w:rPr>
                <w:szCs w:val="20"/>
              </w:rPr>
              <w:t xml:space="preserve"> </w:t>
            </w:r>
            <w:r w:rsidR="000D75F2">
              <w:rPr>
                <w:szCs w:val="20"/>
              </w:rPr>
              <w:t xml:space="preserve">The statistics reported here are </w:t>
            </w:r>
            <w:r w:rsidR="000D75F2" w:rsidRPr="004A3E1E">
              <w:rPr>
                <w:szCs w:val="20"/>
              </w:rPr>
              <w:t>C</w:t>
            </w:r>
            <w:r w:rsidR="000D75F2" w:rsidRPr="004A3E1E">
              <w:rPr>
                <w:szCs w:val="20"/>
                <w:vertAlign w:val="subscript"/>
              </w:rPr>
              <w:t>av</w:t>
            </w:r>
            <w:r w:rsidR="000D75F2" w:rsidRPr="004A3E1E">
              <w:rPr>
                <w:szCs w:val="20"/>
              </w:rPr>
              <w:t xml:space="preserve"> (the average catch over the projection period</w:t>
            </w:r>
            <w:r w:rsidR="00F8422F">
              <w:rPr>
                <w:szCs w:val="20"/>
              </w:rPr>
              <w:t xml:space="preserve"> and over the next four years</w:t>
            </w:r>
            <w:r w:rsidR="000D75F2" w:rsidRPr="004A3E1E">
              <w:rPr>
                <w:szCs w:val="20"/>
              </w:rPr>
              <w:t>)</w:t>
            </w:r>
            <w:r w:rsidR="00F8422F">
              <w:rPr>
                <w:szCs w:val="20"/>
              </w:rPr>
              <w:t xml:space="preserve"> both in median and mean terms,</w:t>
            </w:r>
            <w:r w:rsidR="000D75F2" w:rsidRPr="004A3E1E">
              <w:rPr>
                <w:szCs w:val="20"/>
              </w:rPr>
              <w:t xml:space="preserve"> and AAV (the average inter-annual proportional change in catch over the projection period</w:t>
            </w:r>
            <w:r w:rsidR="00F8422F">
              <w:rPr>
                <w:szCs w:val="20"/>
              </w:rPr>
              <w:t xml:space="preserve"> and over the next four years</w:t>
            </w:r>
            <w:r w:rsidR="000D75F2" w:rsidRPr="004A3E1E">
              <w:rPr>
                <w:szCs w:val="20"/>
              </w:rPr>
              <w:t>)</w:t>
            </w:r>
            <w:r w:rsidR="00F8422F">
              <w:rPr>
                <w:szCs w:val="20"/>
              </w:rPr>
              <w:t>, in median terms</w:t>
            </w:r>
            <w:r w:rsidR="000D75F2" w:rsidRPr="004A3E1E">
              <w:rPr>
                <w:szCs w:val="20"/>
              </w:rPr>
              <w:t>.</w:t>
            </w:r>
          </w:p>
        </w:tc>
      </w:tr>
      <w:tr w:rsidR="00495BFA" w14:paraId="0DB84FDB" w14:textId="77777777" w:rsidTr="00FF7098">
        <w:trPr>
          <w:jc w:val="center"/>
        </w:trPr>
        <w:tc>
          <w:tcPr>
            <w:tcW w:w="14459" w:type="dxa"/>
          </w:tcPr>
          <w:tbl>
            <w:tblPr>
              <w:tblW w:w="14363" w:type="dxa"/>
              <w:jc w:val="center"/>
              <w:tblLayout w:type="fixed"/>
              <w:tblLook w:val="04A0" w:firstRow="1" w:lastRow="0" w:firstColumn="1" w:lastColumn="0" w:noHBand="0" w:noVBand="1"/>
            </w:tblPr>
            <w:tblGrid>
              <w:gridCol w:w="417"/>
              <w:gridCol w:w="2060"/>
              <w:gridCol w:w="807"/>
              <w:gridCol w:w="1595"/>
              <w:gridCol w:w="767"/>
              <w:gridCol w:w="687"/>
              <w:gridCol w:w="807"/>
              <w:gridCol w:w="1595"/>
              <w:gridCol w:w="767"/>
              <w:gridCol w:w="809"/>
              <w:gridCol w:w="667"/>
              <w:gridCol w:w="1359"/>
              <w:gridCol w:w="667"/>
              <w:gridCol w:w="1359"/>
            </w:tblGrid>
            <w:tr w:rsidR="00B9388C" w:rsidRPr="00B9388C" w14:paraId="17F4F333" w14:textId="77777777" w:rsidTr="00FF7098">
              <w:trPr>
                <w:trHeight w:val="255"/>
                <w:jc w:val="center"/>
              </w:trPr>
              <w:tc>
                <w:tcPr>
                  <w:tcW w:w="417" w:type="dxa"/>
                  <w:tcBorders>
                    <w:top w:val="single" w:sz="4" w:space="0" w:color="auto"/>
                    <w:left w:val="single" w:sz="4" w:space="0" w:color="auto"/>
                    <w:bottom w:val="single" w:sz="4" w:space="0" w:color="auto"/>
                    <w:right w:val="nil"/>
                  </w:tcBorders>
                  <w:shd w:val="clear" w:color="auto" w:fill="auto"/>
                  <w:noWrap/>
                  <w:vAlign w:val="bottom"/>
                  <w:hideMark/>
                </w:tcPr>
                <w:p w14:paraId="1EAF887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2060" w:type="dxa"/>
                  <w:tcBorders>
                    <w:top w:val="single" w:sz="4" w:space="0" w:color="auto"/>
                    <w:left w:val="nil"/>
                    <w:bottom w:val="single" w:sz="4" w:space="0" w:color="auto"/>
                    <w:right w:val="single" w:sz="4" w:space="0" w:color="auto"/>
                  </w:tcBorders>
                  <w:shd w:val="clear" w:color="auto" w:fill="auto"/>
                  <w:noWrap/>
                  <w:vAlign w:val="bottom"/>
                  <w:hideMark/>
                </w:tcPr>
                <w:p w14:paraId="4F140E5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11886" w:type="dxa"/>
                  <w:gridSpan w:val="12"/>
                  <w:tcBorders>
                    <w:top w:val="single" w:sz="4" w:space="0" w:color="auto"/>
                    <w:left w:val="nil"/>
                    <w:bottom w:val="single" w:sz="4" w:space="0" w:color="auto"/>
                    <w:right w:val="single" w:sz="4" w:space="0" w:color="000000"/>
                  </w:tcBorders>
                  <w:shd w:val="clear" w:color="auto" w:fill="auto"/>
                  <w:noWrap/>
                  <w:vAlign w:val="bottom"/>
                  <w:hideMark/>
                </w:tcPr>
                <w:p w14:paraId="4F76B46F"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Species combined</w:t>
                  </w:r>
                </w:p>
              </w:tc>
            </w:tr>
            <w:tr w:rsidR="00B9388C" w:rsidRPr="00B9388C" w14:paraId="1189E616"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2B229C1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2060" w:type="dxa"/>
                  <w:tcBorders>
                    <w:top w:val="nil"/>
                    <w:left w:val="nil"/>
                    <w:bottom w:val="nil"/>
                    <w:right w:val="nil"/>
                  </w:tcBorders>
                  <w:shd w:val="clear" w:color="auto" w:fill="auto"/>
                  <w:noWrap/>
                  <w:vAlign w:val="bottom"/>
                  <w:hideMark/>
                </w:tcPr>
                <w:p w14:paraId="69CAA014"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3169" w:type="dxa"/>
                  <w:gridSpan w:val="3"/>
                  <w:tcBorders>
                    <w:top w:val="nil"/>
                    <w:left w:val="single" w:sz="4" w:space="0" w:color="auto"/>
                    <w:bottom w:val="nil"/>
                    <w:right w:val="nil"/>
                  </w:tcBorders>
                  <w:shd w:val="clear" w:color="auto" w:fill="auto"/>
                  <w:noWrap/>
                  <w:vAlign w:val="bottom"/>
                  <w:hideMark/>
                </w:tcPr>
                <w:p w14:paraId="1D6BFFED"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Cav (25 </w:t>
                  </w:r>
                  <w:proofErr w:type="spellStart"/>
                  <w:r w:rsidRPr="00B9388C">
                    <w:rPr>
                      <w:rFonts w:ascii="Arial" w:eastAsia="Times New Roman" w:hAnsi="Arial" w:cs="Arial"/>
                      <w:sz w:val="18"/>
                      <w:szCs w:val="18"/>
                      <w:lang w:eastAsia="en-ZA"/>
                    </w:rPr>
                    <w:t>yrs</w:t>
                  </w:r>
                  <w:proofErr w:type="spellEnd"/>
                  <w:r w:rsidRPr="00B9388C">
                    <w:rPr>
                      <w:rFonts w:ascii="Arial" w:eastAsia="Times New Roman" w:hAnsi="Arial" w:cs="Arial"/>
                      <w:sz w:val="18"/>
                      <w:szCs w:val="18"/>
                      <w:lang w:eastAsia="en-ZA"/>
                    </w:rPr>
                    <w:t>)</w:t>
                  </w:r>
                </w:p>
              </w:tc>
              <w:tc>
                <w:tcPr>
                  <w:tcW w:w="687" w:type="dxa"/>
                  <w:tcBorders>
                    <w:top w:val="nil"/>
                    <w:left w:val="nil"/>
                    <w:bottom w:val="nil"/>
                    <w:right w:val="single" w:sz="4" w:space="0" w:color="auto"/>
                  </w:tcBorders>
                  <w:shd w:val="clear" w:color="auto" w:fill="auto"/>
                  <w:noWrap/>
                  <w:vAlign w:val="bottom"/>
                  <w:hideMark/>
                </w:tcPr>
                <w:p w14:paraId="5345E6B6"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3169" w:type="dxa"/>
                  <w:gridSpan w:val="3"/>
                  <w:tcBorders>
                    <w:top w:val="single" w:sz="4" w:space="0" w:color="auto"/>
                    <w:left w:val="nil"/>
                    <w:bottom w:val="nil"/>
                    <w:right w:val="nil"/>
                  </w:tcBorders>
                  <w:shd w:val="clear" w:color="auto" w:fill="auto"/>
                  <w:noWrap/>
                  <w:vAlign w:val="bottom"/>
                  <w:hideMark/>
                </w:tcPr>
                <w:p w14:paraId="3BB0B620"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Cav (4 </w:t>
                  </w:r>
                  <w:proofErr w:type="spellStart"/>
                  <w:r w:rsidRPr="00B9388C">
                    <w:rPr>
                      <w:rFonts w:ascii="Arial" w:eastAsia="Times New Roman" w:hAnsi="Arial" w:cs="Arial"/>
                      <w:sz w:val="18"/>
                      <w:szCs w:val="18"/>
                      <w:lang w:eastAsia="en-ZA"/>
                    </w:rPr>
                    <w:t>yrs</w:t>
                  </w:r>
                  <w:proofErr w:type="spellEnd"/>
                  <w:r w:rsidRPr="00B9388C">
                    <w:rPr>
                      <w:rFonts w:ascii="Arial" w:eastAsia="Times New Roman" w:hAnsi="Arial" w:cs="Arial"/>
                      <w:sz w:val="18"/>
                      <w:szCs w:val="18"/>
                      <w:lang w:eastAsia="en-ZA"/>
                    </w:rPr>
                    <w:t>)</w:t>
                  </w:r>
                </w:p>
              </w:tc>
              <w:tc>
                <w:tcPr>
                  <w:tcW w:w="809" w:type="dxa"/>
                  <w:tcBorders>
                    <w:top w:val="nil"/>
                    <w:left w:val="nil"/>
                    <w:bottom w:val="nil"/>
                    <w:right w:val="nil"/>
                  </w:tcBorders>
                  <w:shd w:val="clear" w:color="auto" w:fill="auto"/>
                  <w:noWrap/>
                  <w:vAlign w:val="bottom"/>
                  <w:hideMark/>
                </w:tcPr>
                <w:p w14:paraId="0547B395" w14:textId="77777777" w:rsidR="00B9388C" w:rsidRPr="00B9388C" w:rsidRDefault="00B9388C" w:rsidP="00B9388C">
                  <w:pPr>
                    <w:spacing w:after="0" w:line="240" w:lineRule="auto"/>
                    <w:jc w:val="center"/>
                    <w:rPr>
                      <w:rFonts w:ascii="Arial" w:eastAsia="Times New Roman" w:hAnsi="Arial" w:cs="Arial"/>
                      <w:sz w:val="18"/>
                      <w:szCs w:val="18"/>
                      <w:lang w:eastAsia="en-ZA"/>
                    </w:rPr>
                  </w:pPr>
                </w:p>
              </w:tc>
              <w:tc>
                <w:tcPr>
                  <w:tcW w:w="667" w:type="dxa"/>
                  <w:tcBorders>
                    <w:top w:val="nil"/>
                    <w:left w:val="single" w:sz="4" w:space="0" w:color="auto"/>
                    <w:bottom w:val="nil"/>
                    <w:right w:val="nil"/>
                  </w:tcBorders>
                  <w:shd w:val="clear" w:color="auto" w:fill="auto"/>
                  <w:noWrap/>
                  <w:vAlign w:val="bottom"/>
                  <w:hideMark/>
                </w:tcPr>
                <w:p w14:paraId="2AC11952"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1359" w:type="dxa"/>
                  <w:tcBorders>
                    <w:top w:val="nil"/>
                    <w:left w:val="nil"/>
                    <w:bottom w:val="nil"/>
                    <w:right w:val="nil"/>
                  </w:tcBorders>
                  <w:shd w:val="clear" w:color="auto" w:fill="auto"/>
                  <w:noWrap/>
                  <w:vAlign w:val="bottom"/>
                  <w:hideMark/>
                </w:tcPr>
                <w:p w14:paraId="4CF52F7D"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667" w:type="dxa"/>
                  <w:tcBorders>
                    <w:top w:val="nil"/>
                    <w:left w:val="nil"/>
                    <w:bottom w:val="nil"/>
                    <w:right w:val="nil"/>
                  </w:tcBorders>
                  <w:shd w:val="clear" w:color="auto" w:fill="auto"/>
                  <w:noWrap/>
                  <w:vAlign w:val="bottom"/>
                  <w:hideMark/>
                </w:tcPr>
                <w:p w14:paraId="752B99EF" w14:textId="77777777" w:rsidR="00B9388C" w:rsidRPr="00B9388C" w:rsidRDefault="00B9388C" w:rsidP="00B9388C">
                  <w:pPr>
                    <w:spacing w:after="0" w:line="240" w:lineRule="auto"/>
                    <w:rPr>
                      <w:rFonts w:ascii="Times New Roman" w:eastAsia="Times New Roman" w:hAnsi="Times New Roman" w:cs="Times New Roman"/>
                      <w:szCs w:val="20"/>
                      <w:lang w:eastAsia="en-ZA"/>
                    </w:rPr>
                  </w:pPr>
                </w:p>
              </w:tc>
              <w:tc>
                <w:tcPr>
                  <w:tcW w:w="1359" w:type="dxa"/>
                  <w:tcBorders>
                    <w:top w:val="nil"/>
                    <w:left w:val="nil"/>
                    <w:bottom w:val="nil"/>
                    <w:right w:val="single" w:sz="4" w:space="0" w:color="auto"/>
                  </w:tcBorders>
                  <w:shd w:val="clear" w:color="auto" w:fill="auto"/>
                  <w:noWrap/>
                  <w:vAlign w:val="bottom"/>
                  <w:hideMark/>
                </w:tcPr>
                <w:p w14:paraId="24BD69A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r>
            <w:tr w:rsidR="00B9388C" w:rsidRPr="00B9388C" w14:paraId="0EE2BBB2"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724C8DF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2060" w:type="dxa"/>
                  <w:tcBorders>
                    <w:top w:val="nil"/>
                    <w:left w:val="nil"/>
                    <w:bottom w:val="nil"/>
                    <w:right w:val="nil"/>
                  </w:tcBorders>
                  <w:shd w:val="clear" w:color="auto" w:fill="auto"/>
                  <w:noWrap/>
                  <w:vAlign w:val="bottom"/>
                  <w:hideMark/>
                </w:tcPr>
                <w:p w14:paraId="7DF0255B" w14:textId="77777777" w:rsidR="00B9388C" w:rsidRPr="00B9388C" w:rsidRDefault="00B9388C" w:rsidP="00B9388C">
                  <w:pPr>
                    <w:spacing w:after="0" w:line="240" w:lineRule="auto"/>
                    <w:rPr>
                      <w:rFonts w:ascii="Arial" w:eastAsia="Times New Roman" w:hAnsi="Arial" w:cs="Arial"/>
                      <w:sz w:val="18"/>
                      <w:szCs w:val="18"/>
                      <w:lang w:eastAsia="en-ZA"/>
                    </w:rPr>
                  </w:pPr>
                </w:p>
              </w:tc>
              <w:tc>
                <w:tcPr>
                  <w:tcW w:w="807" w:type="dxa"/>
                  <w:tcBorders>
                    <w:top w:val="nil"/>
                    <w:left w:val="single" w:sz="4" w:space="0" w:color="auto"/>
                    <w:bottom w:val="single" w:sz="4" w:space="0" w:color="auto"/>
                    <w:right w:val="nil"/>
                  </w:tcBorders>
                  <w:shd w:val="clear" w:color="auto" w:fill="auto"/>
                  <w:noWrap/>
                  <w:vAlign w:val="bottom"/>
                  <w:hideMark/>
                </w:tcPr>
                <w:p w14:paraId="00D61D6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Median</w:t>
                  </w:r>
                </w:p>
              </w:tc>
              <w:tc>
                <w:tcPr>
                  <w:tcW w:w="1595" w:type="dxa"/>
                  <w:tcBorders>
                    <w:top w:val="nil"/>
                    <w:left w:val="nil"/>
                    <w:bottom w:val="single" w:sz="4" w:space="0" w:color="auto"/>
                    <w:right w:val="nil"/>
                  </w:tcBorders>
                  <w:shd w:val="clear" w:color="auto" w:fill="auto"/>
                  <w:noWrap/>
                  <w:vAlign w:val="bottom"/>
                  <w:hideMark/>
                </w:tcPr>
                <w:p w14:paraId="3132D04F"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(90% P.I)</w:t>
                  </w:r>
                </w:p>
              </w:tc>
              <w:tc>
                <w:tcPr>
                  <w:tcW w:w="767" w:type="dxa"/>
                  <w:tcBorders>
                    <w:top w:val="nil"/>
                    <w:left w:val="nil"/>
                    <w:bottom w:val="single" w:sz="4" w:space="0" w:color="auto"/>
                    <w:right w:val="nil"/>
                  </w:tcBorders>
                  <w:shd w:val="clear" w:color="auto" w:fill="auto"/>
                  <w:noWrap/>
                  <w:vAlign w:val="bottom"/>
                  <w:hideMark/>
                </w:tcPr>
                <w:p w14:paraId="056E430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Mean</w:t>
                  </w:r>
                </w:p>
              </w:tc>
              <w:tc>
                <w:tcPr>
                  <w:tcW w:w="687" w:type="dxa"/>
                  <w:tcBorders>
                    <w:top w:val="nil"/>
                    <w:left w:val="nil"/>
                    <w:bottom w:val="single" w:sz="4" w:space="0" w:color="auto"/>
                    <w:right w:val="single" w:sz="4" w:space="0" w:color="auto"/>
                  </w:tcBorders>
                  <w:shd w:val="clear" w:color="auto" w:fill="auto"/>
                  <w:noWrap/>
                  <w:vAlign w:val="bottom"/>
                  <w:hideMark/>
                </w:tcPr>
                <w:p w14:paraId="720DA70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w:t>
                  </w:r>
                  <w:proofErr w:type="spellStart"/>
                  <w:r w:rsidRPr="00B9388C">
                    <w:rPr>
                      <w:rFonts w:ascii="Arial" w:eastAsia="Times New Roman" w:hAnsi="Arial" w:cs="Arial"/>
                      <w:sz w:val="18"/>
                      <w:szCs w:val="18"/>
                      <w:lang w:eastAsia="en-ZA"/>
                    </w:rPr>
                    <w:t>sd</w:t>
                  </w:r>
                  <w:proofErr w:type="spellEnd"/>
                  <w:r w:rsidRPr="00B9388C">
                    <w:rPr>
                      <w:rFonts w:ascii="Arial" w:eastAsia="Times New Roman" w:hAnsi="Arial" w:cs="Arial"/>
                      <w:sz w:val="18"/>
                      <w:szCs w:val="18"/>
                      <w:lang w:eastAsia="en-ZA"/>
                    </w:rPr>
                    <w:t>)</w:t>
                  </w:r>
                </w:p>
              </w:tc>
              <w:tc>
                <w:tcPr>
                  <w:tcW w:w="807" w:type="dxa"/>
                  <w:tcBorders>
                    <w:top w:val="nil"/>
                    <w:left w:val="nil"/>
                    <w:bottom w:val="single" w:sz="4" w:space="0" w:color="auto"/>
                    <w:right w:val="nil"/>
                  </w:tcBorders>
                  <w:shd w:val="clear" w:color="auto" w:fill="auto"/>
                  <w:noWrap/>
                  <w:vAlign w:val="bottom"/>
                  <w:hideMark/>
                </w:tcPr>
                <w:p w14:paraId="10CDFDC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Median</w:t>
                  </w:r>
                </w:p>
              </w:tc>
              <w:tc>
                <w:tcPr>
                  <w:tcW w:w="1595" w:type="dxa"/>
                  <w:tcBorders>
                    <w:top w:val="nil"/>
                    <w:left w:val="nil"/>
                    <w:bottom w:val="single" w:sz="4" w:space="0" w:color="auto"/>
                    <w:right w:val="nil"/>
                  </w:tcBorders>
                  <w:shd w:val="clear" w:color="auto" w:fill="auto"/>
                  <w:noWrap/>
                  <w:vAlign w:val="bottom"/>
                  <w:hideMark/>
                </w:tcPr>
                <w:p w14:paraId="498D233E"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(90% P.I)</w:t>
                  </w:r>
                </w:p>
              </w:tc>
              <w:tc>
                <w:tcPr>
                  <w:tcW w:w="767" w:type="dxa"/>
                  <w:tcBorders>
                    <w:top w:val="nil"/>
                    <w:left w:val="nil"/>
                    <w:bottom w:val="single" w:sz="4" w:space="0" w:color="auto"/>
                    <w:right w:val="nil"/>
                  </w:tcBorders>
                  <w:shd w:val="clear" w:color="auto" w:fill="auto"/>
                  <w:noWrap/>
                  <w:vAlign w:val="bottom"/>
                  <w:hideMark/>
                </w:tcPr>
                <w:p w14:paraId="468DCF9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Mean</w:t>
                  </w:r>
                </w:p>
              </w:tc>
              <w:tc>
                <w:tcPr>
                  <w:tcW w:w="809" w:type="dxa"/>
                  <w:tcBorders>
                    <w:top w:val="nil"/>
                    <w:left w:val="nil"/>
                    <w:bottom w:val="single" w:sz="4" w:space="0" w:color="auto"/>
                    <w:right w:val="single" w:sz="4" w:space="0" w:color="auto"/>
                  </w:tcBorders>
                  <w:shd w:val="clear" w:color="auto" w:fill="auto"/>
                  <w:noWrap/>
                  <w:vAlign w:val="bottom"/>
                  <w:hideMark/>
                </w:tcPr>
                <w:p w14:paraId="496204C3" w14:textId="77777777" w:rsidR="00B9388C" w:rsidRPr="00B9388C" w:rsidRDefault="00B9388C" w:rsidP="00B9388C">
                  <w:pPr>
                    <w:spacing w:after="0" w:line="240" w:lineRule="auto"/>
                    <w:ind w:firstLineChars="100" w:firstLine="180"/>
                    <w:rPr>
                      <w:rFonts w:ascii="Arial" w:eastAsia="Times New Roman" w:hAnsi="Arial" w:cs="Arial"/>
                      <w:sz w:val="18"/>
                      <w:szCs w:val="18"/>
                      <w:lang w:eastAsia="en-ZA"/>
                    </w:rPr>
                  </w:pPr>
                  <w:r w:rsidRPr="00B9388C">
                    <w:rPr>
                      <w:rFonts w:ascii="Arial" w:eastAsia="Times New Roman" w:hAnsi="Arial" w:cs="Arial"/>
                      <w:sz w:val="18"/>
                      <w:szCs w:val="18"/>
                      <w:lang w:eastAsia="en-ZA"/>
                    </w:rPr>
                    <w:t>(</w:t>
                  </w:r>
                  <w:proofErr w:type="spellStart"/>
                  <w:r w:rsidRPr="00B9388C">
                    <w:rPr>
                      <w:rFonts w:ascii="Arial" w:eastAsia="Times New Roman" w:hAnsi="Arial" w:cs="Arial"/>
                      <w:sz w:val="18"/>
                      <w:szCs w:val="18"/>
                      <w:lang w:eastAsia="en-ZA"/>
                    </w:rPr>
                    <w:t>sd</w:t>
                  </w:r>
                  <w:proofErr w:type="spellEnd"/>
                  <w:r w:rsidRPr="00B9388C">
                    <w:rPr>
                      <w:rFonts w:ascii="Arial" w:eastAsia="Times New Roman" w:hAnsi="Arial" w:cs="Arial"/>
                      <w:sz w:val="18"/>
                      <w:szCs w:val="18"/>
                      <w:lang w:eastAsia="en-ZA"/>
                    </w:rPr>
                    <w:t>)</w:t>
                  </w:r>
                </w:p>
              </w:tc>
              <w:tc>
                <w:tcPr>
                  <w:tcW w:w="2026" w:type="dxa"/>
                  <w:gridSpan w:val="2"/>
                  <w:tcBorders>
                    <w:top w:val="nil"/>
                    <w:left w:val="nil"/>
                    <w:bottom w:val="single" w:sz="4" w:space="0" w:color="auto"/>
                    <w:right w:val="nil"/>
                  </w:tcBorders>
                  <w:shd w:val="clear" w:color="auto" w:fill="auto"/>
                  <w:noWrap/>
                  <w:vAlign w:val="bottom"/>
                  <w:hideMark/>
                </w:tcPr>
                <w:p w14:paraId="505D810F"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AAV (25 years)</w:t>
                  </w:r>
                </w:p>
              </w:tc>
              <w:tc>
                <w:tcPr>
                  <w:tcW w:w="2026" w:type="dxa"/>
                  <w:gridSpan w:val="2"/>
                  <w:tcBorders>
                    <w:top w:val="nil"/>
                    <w:left w:val="nil"/>
                    <w:bottom w:val="single" w:sz="4" w:space="0" w:color="auto"/>
                    <w:right w:val="single" w:sz="4" w:space="0" w:color="000000"/>
                  </w:tcBorders>
                  <w:shd w:val="clear" w:color="auto" w:fill="auto"/>
                  <w:noWrap/>
                  <w:vAlign w:val="bottom"/>
                  <w:hideMark/>
                </w:tcPr>
                <w:p w14:paraId="2E2CFC95"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AAV (4 years)</w:t>
                  </w:r>
                </w:p>
              </w:tc>
            </w:tr>
            <w:tr w:rsidR="00B9388C" w:rsidRPr="00B9388C" w14:paraId="69802C13" w14:textId="77777777" w:rsidTr="00FF7098">
              <w:trPr>
                <w:trHeight w:val="255"/>
                <w:jc w:val="center"/>
              </w:trPr>
              <w:tc>
                <w:tcPr>
                  <w:tcW w:w="14363" w:type="dxa"/>
                  <w:gridSpan w:val="14"/>
                  <w:tcBorders>
                    <w:top w:val="single" w:sz="4" w:space="0" w:color="auto"/>
                    <w:left w:val="single" w:sz="4" w:space="0" w:color="auto"/>
                    <w:bottom w:val="single" w:sz="4" w:space="0" w:color="auto"/>
                    <w:right w:val="single" w:sz="4" w:space="0" w:color="000000"/>
                  </w:tcBorders>
                  <w:shd w:val="clear" w:color="000000" w:fill="A6A6A6"/>
                  <w:noWrap/>
                  <w:vAlign w:val="bottom"/>
                  <w:hideMark/>
                </w:tcPr>
                <w:p w14:paraId="2B474DCB"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Equal weighting across the nine RS OMs</w:t>
                  </w:r>
                </w:p>
              </w:tc>
            </w:tr>
            <w:tr w:rsidR="00B9388C" w:rsidRPr="00B9388C" w14:paraId="33F56B22" w14:textId="77777777" w:rsidTr="00FF7098">
              <w:trPr>
                <w:trHeight w:val="255"/>
                <w:jc w:val="center"/>
              </w:trPr>
              <w:tc>
                <w:tcPr>
                  <w:tcW w:w="417" w:type="dxa"/>
                  <w:tcBorders>
                    <w:top w:val="nil"/>
                    <w:left w:val="single" w:sz="4" w:space="0" w:color="auto"/>
                    <w:bottom w:val="single" w:sz="4" w:space="0" w:color="auto"/>
                    <w:right w:val="nil"/>
                  </w:tcBorders>
                  <w:shd w:val="clear" w:color="auto" w:fill="auto"/>
                  <w:noWrap/>
                  <w:vAlign w:val="bottom"/>
                  <w:hideMark/>
                </w:tcPr>
                <w:p w14:paraId="4598674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w:t>
                  </w:r>
                </w:p>
              </w:tc>
              <w:tc>
                <w:tcPr>
                  <w:tcW w:w="2060" w:type="dxa"/>
                  <w:tcBorders>
                    <w:top w:val="nil"/>
                    <w:left w:val="nil"/>
                    <w:bottom w:val="single" w:sz="4" w:space="0" w:color="auto"/>
                    <w:right w:val="single" w:sz="4" w:space="0" w:color="auto"/>
                  </w:tcBorders>
                  <w:shd w:val="clear" w:color="auto" w:fill="auto"/>
                  <w:noWrap/>
                  <w:vAlign w:val="bottom"/>
                  <w:hideMark/>
                </w:tcPr>
                <w:p w14:paraId="02BEF03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Proposed OMP2018</w:t>
                  </w:r>
                </w:p>
              </w:tc>
              <w:tc>
                <w:tcPr>
                  <w:tcW w:w="807" w:type="dxa"/>
                  <w:tcBorders>
                    <w:top w:val="nil"/>
                    <w:left w:val="nil"/>
                    <w:bottom w:val="nil"/>
                    <w:right w:val="nil"/>
                  </w:tcBorders>
                  <w:shd w:val="clear" w:color="auto" w:fill="auto"/>
                  <w:noWrap/>
                  <w:vAlign w:val="bottom"/>
                  <w:hideMark/>
                </w:tcPr>
                <w:p w14:paraId="7211B37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154.08</w:t>
                  </w:r>
                </w:p>
              </w:tc>
              <w:tc>
                <w:tcPr>
                  <w:tcW w:w="1595" w:type="dxa"/>
                  <w:tcBorders>
                    <w:top w:val="nil"/>
                    <w:left w:val="nil"/>
                    <w:bottom w:val="nil"/>
                    <w:right w:val="nil"/>
                  </w:tcBorders>
                  <w:shd w:val="clear" w:color="auto" w:fill="auto"/>
                  <w:noWrap/>
                  <w:vAlign w:val="bottom"/>
                  <w:hideMark/>
                </w:tcPr>
                <w:p w14:paraId="2C1E950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(140.59,158.87) </w:t>
                  </w:r>
                </w:p>
              </w:tc>
              <w:tc>
                <w:tcPr>
                  <w:tcW w:w="767" w:type="dxa"/>
                  <w:tcBorders>
                    <w:top w:val="nil"/>
                    <w:left w:val="nil"/>
                    <w:bottom w:val="nil"/>
                    <w:right w:val="nil"/>
                  </w:tcBorders>
                  <w:shd w:val="clear" w:color="auto" w:fill="auto"/>
                  <w:noWrap/>
                  <w:vAlign w:val="bottom"/>
                  <w:hideMark/>
                </w:tcPr>
                <w:p w14:paraId="2C48125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152.33</w:t>
                  </w:r>
                </w:p>
              </w:tc>
              <w:tc>
                <w:tcPr>
                  <w:tcW w:w="687" w:type="dxa"/>
                  <w:tcBorders>
                    <w:top w:val="nil"/>
                    <w:left w:val="nil"/>
                    <w:bottom w:val="nil"/>
                    <w:right w:val="single" w:sz="4" w:space="0" w:color="auto"/>
                  </w:tcBorders>
                  <w:shd w:val="clear" w:color="auto" w:fill="auto"/>
                  <w:noWrap/>
                  <w:vAlign w:val="bottom"/>
                  <w:hideMark/>
                </w:tcPr>
                <w:p w14:paraId="63F3B96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(6.16)</w:t>
                  </w:r>
                </w:p>
              </w:tc>
              <w:tc>
                <w:tcPr>
                  <w:tcW w:w="807" w:type="dxa"/>
                  <w:tcBorders>
                    <w:top w:val="nil"/>
                    <w:left w:val="nil"/>
                    <w:bottom w:val="nil"/>
                    <w:right w:val="nil"/>
                  </w:tcBorders>
                  <w:shd w:val="clear" w:color="auto" w:fill="auto"/>
                  <w:noWrap/>
                  <w:vAlign w:val="bottom"/>
                  <w:hideMark/>
                </w:tcPr>
                <w:p w14:paraId="181C16D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148.13</w:t>
                  </w:r>
                </w:p>
              </w:tc>
              <w:tc>
                <w:tcPr>
                  <w:tcW w:w="1595" w:type="dxa"/>
                  <w:tcBorders>
                    <w:top w:val="nil"/>
                    <w:left w:val="nil"/>
                    <w:bottom w:val="nil"/>
                    <w:right w:val="nil"/>
                  </w:tcBorders>
                  <w:shd w:val="clear" w:color="auto" w:fill="auto"/>
                  <w:noWrap/>
                  <w:vAlign w:val="bottom"/>
                  <w:hideMark/>
                </w:tcPr>
                <w:p w14:paraId="08A5AE1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(140.97,153.22)</w:t>
                  </w:r>
                </w:p>
              </w:tc>
              <w:tc>
                <w:tcPr>
                  <w:tcW w:w="767" w:type="dxa"/>
                  <w:tcBorders>
                    <w:top w:val="nil"/>
                    <w:left w:val="nil"/>
                    <w:bottom w:val="nil"/>
                    <w:right w:val="nil"/>
                  </w:tcBorders>
                  <w:shd w:val="clear" w:color="auto" w:fill="auto"/>
                  <w:noWrap/>
                  <w:vAlign w:val="bottom"/>
                  <w:hideMark/>
                </w:tcPr>
                <w:p w14:paraId="5715979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147.50</w:t>
                  </w:r>
                </w:p>
              </w:tc>
              <w:tc>
                <w:tcPr>
                  <w:tcW w:w="809" w:type="dxa"/>
                  <w:tcBorders>
                    <w:top w:val="nil"/>
                    <w:left w:val="nil"/>
                    <w:bottom w:val="nil"/>
                    <w:right w:val="single" w:sz="4" w:space="0" w:color="auto"/>
                  </w:tcBorders>
                  <w:shd w:val="clear" w:color="auto" w:fill="auto"/>
                  <w:noWrap/>
                  <w:vAlign w:val="bottom"/>
                  <w:hideMark/>
                </w:tcPr>
                <w:p w14:paraId="7264EB1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(5.48)</w:t>
                  </w:r>
                </w:p>
              </w:tc>
              <w:tc>
                <w:tcPr>
                  <w:tcW w:w="667" w:type="dxa"/>
                  <w:tcBorders>
                    <w:top w:val="nil"/>
                    <w:left w:val="nil"/>
                    <w:bottom w:val="nil"/>
                    <w:right w:val="nil"/>
                  </w:tcBorders>
                  <w:shd w:val="clear" w:color="auto" w:fill="auto"/>
                  <w:noWrap/>
                  <w:vAlign w:val="bottom"/>
                  <w:hideMark/>
                </w:tcPr>
                <w:p w14:paraId="249AF75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0.025</w:t>
                  </w:r>
                </w:p>
              </w:tc>
              <w:tc>
                <w:tcPr>
                  <w:tcW w:w="1359" w:type="dxa"/>
                  <w:tcBorders>
                    <w:top w:val="nil"/>
                    <w:left w:val="nil"/>
                    <w:bottom w:val="nil"/>
                    <w:right w:val="nil"/>
                  </w:tcBorders>
                  <w:shd w:val="clear" w:color="auto" w:fill="auto"/>
                  <w:noWrap/>
                  <w:vAlign w:val="bottom"/>
                  <w:hideMark/>
                </w:tcPr>
                <w:p w14:paraId="6810A54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(0.008,0.048)</w:t>
                  </w:r>
                </w:p>
              </w:tc>
              <w:tc>
                <w:tcPr>
                  <w:tcW w:w="667" w:type="dxa"/>
                  <w:tcBorders>
                    <w:top w:val="nil"/>
                    <w:left w:val="nil"/>
                    <w:bottom w:val="nil"/>
                    <w:right w:val="nil"/>
                  </w:tcBorders>
                  <w:shd w:val="clear" w:color="auto" w:fill="auto"/>
                  <w:noWrap/>
                  <w:vAlign w:val="bottom"/>
                  <w:hideMark/>
                </w:tcPr>
                <w:p w14:paraId="61A2076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200326D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 (0.038,0.063)</w:t>
                  </w:r>
                </w:p>
              </w:tc>
            </w:tr>
            <w:tr w:rsidR="00B9388C" w:rsidRPr="00B9388C" w14:paraId="68F63056" w14:textId="77777777" w:rsidTr="00FF7098">
              <w:trPr>
                <w:trHeight w:val="255"/>
                <w:jc w:val="center"/>
              </w:trPr>
              <w:tc>
                <w:tcPr>
                  <w:tcW w:w="14363" w:type="dxa"/>
                  <w:gridSpan w:val="14"/>
                  <w:tcBorders>
                    <w:top w:val="single" w:sz="4" w:space="0" w:color="auto"/>
                    <w:left w:val="single" w:sz="4" w:space="0" w:color="auto"/>
                    <w:bottom w:val="single" w:sz="4" w:space="0" w:color="auto"/>
                    <w:right w:val="single" w:sz="4" w:space="0" w:color="000000"/>
                  </w:tcBorders>
                  <w:shd w:val="clear" w:color="000000" w:fill="A6A6A6"/>
                  <w:noWrap/>
                  <w:vAlign w:val="bottom"/>
                  <w:hideMark/>
                </w:tcPr>
                <w:p w14:paraId="691BC234" w14:textId="77777777" w:rsidR="00B9388C" w:rsidRPr="00B9388C" w:rsidRDefault="00B9388C" w:rsidP="00B9388C">
                  <w:pPr>
                    <w:spacing w:after="0" w:line="240" w:lineRule="auto"/>
                    <w:jc w:val="center"/>
                    <w:rPr>
                      <w:rFonts w:ascii="Arial" w:eastAsia="Times New Roman" w:hAnsi="Arial" w:cs="Arial"/>
                      <w:sz w:val="18"/>
                      <w:szCs w:val="18"/>
                      <w:lang w:eastAsia="en-ZA"/>
                    </w:rPr>
                  </w:pPr>
                  <w:r w:rsidRPr="00B9388C">
                    <w:rPr>
                      <w:rFonts w:ascii="Arial" w:eastAsia="Times New Roman" w:hAnsi="Arial" w:cs="Arial"/>
                      <w:sz w:val="18"/>
                      <w:szCs w:val="18"/>
                      <w:lang w:eastAsia="en-ZA"/>
                    </w:rPr>
                    <w:t>Robustness test results for RS02 only</w:t>
                  </w:r>
                </w:p>
              </w:tc>
            </w:tr>
            <w:tr w:rsidR="00B9388C" w:rsidRPr="00B9388C" w14:paraId="55051D80"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47A93F3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w:t>
                  </w:r>
                </w:p>
              </w:tc>
              <w:tc>
                <w:tcPr>
                  <w:tcW w:w="2060" w:type="dxa"/>
                  <w:tcBorders>
                    <w:top w:val="nil"/>
                    <w:left w:val="nil"/>
                    <w:bottom w:val="nil"/>
                    <w:right w:val="single" w:sz="4" w:space="0" w:color="auto"/>
                  </w:tcBorders>
                  <w:shd w:val="clear" w:color="auto" w:fill="auto"/>
                  <w:noWrap/>
                  <w:vAlign w:val="bottom"/>
                  <w:hideMark/>
                </w:tcPr>
                <w:p w14:paraId="42EAF10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RC</w:t>
                  </w:r>
                </w:p>
              </w:tc>
              <w:tc>
                <w:tcPr>
                  <w:tcW w:w="807" w:type="dxa"/>
                  <w:tcBorders>
                    <w:top w:val="nil"/>
                    <w:left w:val="nil"/>
                    <w:bottom w:val="nil"/>
                    <w:right w:val="nil"/>
                  </w:tcBorders>
                  <w:shd w:val="clear" w:color="auto" w:fill="auto"/>
                  <w:noWrap/>
                  <w:vAlign w:val="bottom"/>
                  <w:hideMark/>
                </w:tcPr>
                <w:p w14:paraId="4A2C8CE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152.33</w:t>
                  </w:r>
                </w:p>
              </w:tc>
              <w:tc>
                <w:tcPr>
                  <w:tcW w:w="1595" w:type="dxa"/>
                  <w:tcBorders>
                    <w:top w:val="nil"/>
                    <w:left w:val="nil"/>
                    <w:bottom w:val="nil"/>
                    <w:right w:val="nil"/>
                  </w:tcBorders>
                  <w:shd w:val="clear" w:color="auto" w:fill="auto"/>
                  <w:noWrap/>
                  <w:vAlign w:val="bottom"/>
                  <w:hideMark/>
                </w:tcPr>
                <w:p w14:paraId="2A26561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(144.23,157.93) </w:t>
                  </w:r>
                </w:p>
              </w:tc>
              <w:tc>
                <w:tcPr>
                  <w:tcW w:w="767" w:type="dxa"/>
                  <w:tcBorders>
                    <w:top w:val="nil"/>
                    <w:left w:val="nil"/>
                    <w:bottom w:val="nil"/>
                    <w:right w:val="nil"/>
                  </w:tcBorders>
                  <w:shd w:val="clear" w:color="auto" w:fill="auto"/>
                  <w:noWrap/>
                  <w:vAlign w:val="bottom"/>
                  <w:hideMark/>
                </w:tcPr>
                <w:p w14:paraId="1BC1272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151.65</w:t>
                  </w:r>
                </w:p>
              </w:tc>
              <w:tc>
                <w:tcPr>
                  <w:tcW w:w="687" w:type="dxa"/>
                  <w:tcBorders>
                    <w:top w:val="nil"/>
                    <w:left w:val="nil"/>
                    <w:bottom w:val="nil"/>
                    <w:right w:val="nil"/>
                  </w:tcBorders>
                  <w:shd w:val="clear" w:color="auto" w:fill="auto"/>
                  <w:noWrap/>
                  <w:vAlign w:val="bottom"/>
                  <w:hideMark/>
                </w:tcPr>
                <w:p w14:paraId="5C075CC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4.85</w:t>
                  </w:r>
                </w:p>
              </w:tc>
              <w:tc>
                <w:tcPr>
                  <w:tcW w:w="807" w:type="dxa"/>
                  <w:tcBorders>
                    <w:top w:val="nil"/>
                    <w:left w:val="single" w:sz="4" w:space="0" w:color="auto"/>
                    <w:bottom w:val="nil"/>
                    <w:right w:val="nil"/>
                  </w:tcBorders>
                  <w:shd w:val="clear" w:color="auto" w:fill="auto"/>
                  <w:noWrap/>
                  <w:vAlign w:val="bottom"/>
                  <w:hideMark/>
                </w:tcPr>
                <w:p w14:paraId="218024A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153.22</w:t>
                  </w:r>
                </w:p>
              </w:tc>
              <w:tc>
                <w:tcPr>
                  <w:tcW w:w="1595" w:type="dxa"/>
                  <w:tcBorders>
                    <w:top w:val="nil"/>
                    <w:left w:val="nil"/>
                    <w:bottom w:val="nil"/>
                    <w:right w:val="nil"/>
                  </w:tcBorders>
                  <w:shd w:val="clear" w:color="auto" w:fill="auto"/>
                  <w:noWrap/>
                  <w:vAlign w:val="bottom"/>
                  <w:hideMark/>
                </w:tcPr>
                <w:p w14:paraId="4C0BD28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(141.21,153.22)</w:t>
                  </w:r>
                </w:p>
              </w:tc>
              <w:tc>
                <w:tcPr>
                  <w:tcW w:w="767" w:type="dxa"/>
                  <w:tcBorders>
                    <w:top w:val="nil"/>
                    <w:left w:val="nil"/>
                    <w:bottom w:val="nil"/>
                    <w:right w:val="nil"/>
                  </w:tcBorders>
                  <w:shd w:val="clear" w:color="auto" w:fill="auto"/>
                  <w:noWrap/>
                  <w:vAlign w:val="bottom"/>
                  <w:hideMark/>
                </w:tcPr>
                <w:p w14:paraId="7C9811B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150.22</w:t>
                  </w:r>
                </w:p>
              </w:tc>
              <w:tc>
                <w:tcPr>
                  <w:tcW w:w="809" w:type="dxa"/>
                  <w:tcBorders>
                    <w:top w:val="nil"/>
                    <w:left w:val="nil"/>
                    <w:bottom w:val="nil"/>
                    <w:right w:val="single" w:sz="4" w:space="0" w:color="auto"/>
                  </w:tcBorders>
                  <w:shd w:val="clear" w:color="auto" w:fill="auto"/>
                  <w:noWrap/>
                  <w:vAlign w:val="bottom"/>
                  <w:hideMark/>
                </w:tcPr>
                <w:p w14:paraId="70EC1AF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4.30</w:t>
                  </w:r>
                </w:p>
              </w:tc>
              <w:tc>
                <w:tcPr>
                  <w:tcW w:w="667" w:type="dxa"/>
                  <w:tcBorders>
                    <w:top w:val="nil"/>
                    <w:left w:val="nil"/>
                    <w:bottom w:val="nil"/>
                    <w:right w:val="nil"/>
                  </w:tcBorders>
                  <w:shd w:val="clear" w:color="auto" w:fill="auto"/>
                  <w:noWrap/>
                  <w:vAlign w:val="bottom"/>
                  <w:hideMark/>
                </w:tcPr>
                <w:p w14:paraId="2CD3DAF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0.029</w:t>
                  </w:r>
                </w:p>
              </w:tc>
              <w:tc>
                <w:tcPr>
                  <w:tcW w:w="1359" w:type="dxa"/>
                  <w:tcBorders>
                    <w:top w:val="nil"/>
                    <w:left w:val="nil"/>
                    <w:bottom w:val="nil"/>
                    <w:right w:val="nil"/>
                  </w:tcBorders>
                  <w:shd w:val="clear" w:color="auto" w:fill="auto"/>
                  <w:noWrap/>
                  <w:vAlign w:val="bottom"/>
                  <w:hideMark/>
                </w:tcPr>
                <w:p w14:paraId="5682F53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(0.013,0.044)</w:t>
                  </w:r>
                </w:p>
              </w:tc>
              <w:tc>
                <w:tcPr>
                  <w:tcW w:w="667" w:type="dxa"/>
                  <w:tcBorders>
                    <w:top w:val="nil"/>
                    <w:left w:val="nil"/>
                    <w:bottom w:val="nil"/>
                    <w:right w:val="nil"/>
                  </w:tcBorders>
                  <w:shd w:val="clear" w:color="auto" w:fill="auto"/>
                  <w:noWrap/>
                  <w:vAlign w:val="bottom"/>
                  <w:hideMark/>
                </w:tcPr>
                <w:p w14:paraId="79070D0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1E8AFC7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(0.039,0.060)</w:t>
                  </w:r>
                </w:p>
              </w:tc>
            </w:tr>
            <w:tr w:rsidR="00B9388C" w:rsidRPr="00B9388C" w14:paraId="6E33EE55" w14:textId="77777777" w:rsidTr="00FF7098">
              <w:trPr>
                <w:trHeight w:val="255"/>
                <w:jc w:val="center"/>
              </w:trPr>
              <w:tc>
                <w:tcPr>
                  <w:tcW w:w="417" w:type="dxa"/>
                  <w:tcBorders>
                    <w:top w:val="single" w:sz="4" w:space="0" w:color="auto"/>
                    <w:left w:val="single" w:sz="4" w:space="0" w:color="auto"/>
                    <w:bottom w:val="nil"/>
                    <w:right w:val="nil"/>
                  </w:tcBorders>
                  <w:shd w:val="clear" w:color="auto" w:fill="auto"/>
                  <w:noWrap/>
                  <w:vAlign w:val="bottom"/>
                  <w:hideMark/>
                </w:tcPr>
                <w:p w14:paraId="4049AC6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w:t>
                  </w:r>
                </w:p>
              </w:tc>
              <w:tc>
                <w:tcPr>
                  <w:tcW w:w="2060" w:type="dxa"/>
                  <w:tcBorders>
                    <w:top w:val="single" w:sz="4" w:space="0" w:color="auto"/>
                    <w:left w:val="nil"/>
                    <w:bottom w:val="nil"/>
                    <w:right w:val="single" w:sz="4" w:space="0" w:color="auto"/>
                  </w:tcBorders>
                  <w:shd w:val="clear" w:color="auto" w:fill="auto"/>
                  <w:noWrap/>
                  <w:vAlign w:val="bottom"/>
                  <w:hideMark/>
                </w:tcPr>
                <w:p w14:paraId="65673997" w14:textId="391C5309"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No surveys</w:t>
                  </w:r>
                  <w:r w:rsidR="00E636FB">
                    <w:rPr>
                      <w:rFonts w:ascii="Arial" w:eastAsia="Times New Roman" w:hAnsi="Arial" w:cs="Arial"/>
                      <w:sz w:val="18"/>
                      <w:szCs w:val="18"/>
                      <w:lang w:eastAsia="en-ZA"/>
                    </w:rPr>
                    <w:t>*</w:t>
                  </w:r>
                </w:p>
              </w:tc>
              <w:tc>
                <w:tcPr>
                  <w:tcW w:w="807" w:type="dxa"/>
                  <w:tcBorders>
                    <w:top w:val="single" w:sz="4" w:space="0" w:color="auto"/>
                    <w:left w:val="nil"/>
                    <w:bottom w:val="nil"/>
                    <w:right w:val="nil"/>
                  </w:tcBorders>
                  <w:shd w:val="clear" w:color="auto" w:fill="auto"/>
                  <w:noWrap/>
                  <w:vAlign w:val="bottom"/>
                  <w:hideMark/>
                </w:tcPr>
                <w:p w14:paraId="441937B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150.32</w:t>
                  </w:r>
                </w:p>
              </w:tc>
              <w:tc>
                <w:tcPr>
                  <w:tcW w:w="1595" w:type="dxa"/>
                  <w:tcBorders>
                    <w:top w:val="single" w:sz="4" w:space="0" w:color="auto"/>
                    <w:left w:val="nil"/>
                    <w:bottom w:val="nil"/>
                    <w:right w:val="nil"/>
                  </w:tcBorders>
                  <w:shd w:val="clear" w:color="auto" w:fill="auto"/>
                  <w:noWrap/>
                  <w:vAlign w:val="bottom"/>
                  <w:hideMark/>
                </w:tcPr>
                <w:p w14:paraId="167B238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(140.27,156.26) </w:t>
                  </w:r>
                </w:p>
              </w:tc>
              <w:tc>
                <w:tcPr>
                  <w:tcW w:w="767" w:type="dxa"/>
                  <w:tcBorders>
                    <w:top w:val="single" w:sz="4" w:space="0" w:color="auto"/>
                    <w:left w:val="nil"/>
                    <w:bottom w:val="nil"/>
                    <w:right w:val="nil"/>
                  </w:tcBorders>
                  <w:shd w:val="clear" w:color="auto" w:fill="auto"/>
                  <w:noWrap/>
                  <w:vAlign w:val="bottom"/>
                  <w:hideMark/>
                </w:tcPr>
                <w:p w14:paraId="0D0DABF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149.11</w:t>
                  </w:r>
                </w:p>
              </w:tc>
              <w:tc>
                <w:tcPr>
                  <w:tcW w:w="687" w:type="dxa"/>
                  <w:tcBorders>
                    <w:top w:val="single" w:sz="4" w:space="0" w:color="auto"/>
                    <w:left w:val="nil"/>
                    <w:bottom w:val="nil"/>
                    <w:right w:val="nil"/>
                  </w:tcBorders>
                  <w:shd w:val="clear" w:color="auto" w:fill="auto"/>
                  <w:noWrap/>
                  <w:vAlign w:val="bottom"/>
                  <w:hideMark/>
                </w:tcPr>
                <w:p w14:paraId="6089BFC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5.55</w:t>
                  </w:r>
                </w:p>
              </w:tc>
              <w:tc>
                <w:tcPr>
                  <w:tcW w:w="807" w:type="dxa"/>
                  <w:tcBorders>
                    <w:top w:val="single" w:sz="4" w:space="0" w:color="auto"/>
                    <w:left w:val="single" w:sz="4" w:space="0" w:color="auto"/>
                    <w:bottom w:val="nil"/>
                    <w:right w:val="nil"/>
                  </w:tcBorders>
                  <w:shd w:val="clear" w:color="auto" w:fill="auto"/>
                  <w:noWrap/>
                  <w:vAlign w:val="bottom"/>
                  <w:hideMark/>
                </w:tcPr>
                <w:p w14:paraId="1F8EE18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150.19</w:t>
                  </w:r>
                </w:p>
              </w:tc>
              <w:tc>
                <w:tcPr>
                  <w:tcW w:w="1595" w:type="dxa"/>
                  <w:tcBorders>
                    <w:top w:val="single" w:sz="4" w:space="0" w:color="auto"/>
                    <w:left w:val="nil"/>
                    <w:bottom w:val="nil"/>
                    <w:right w:val="nil"/>
                  </w:tcBorders>
                  <w:shd w:val="clear" w:color="auto" w:fill="auto"/>
                  <w:noWrap/>
                  <w:vAlign w:val="bottom"/>
                  <w:hideMark/>
                </w:tcPr>
                <w:p w14:paraId="476DCBC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single" w:sz="4" w:space="0" w:color="auto"/>
                    <w:left w:val="nil"/>
                    <w:bottom w:val="nil"/>
                    <w:right w:val="nil"/>
                  </w:tcBorders>
                  <w:shd w:val="clear" w:color="auto" w:fill="auto"/>
                  <w:noWrap/>
                  <w:vAlign w:val="bottom"/>
                  <w:hideMark/>
                </w:tcPr>
                <w:p w14:paraId="5A2FA12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148.54</w:t>
                  </w:r>
                </w:p>
              </w:tc>
              <w:tc>
                <w:tcPr>
                  <w:tcW w:w="809" w:type="dxa"/>
                  <w:tcBorders>
                    <w:top w:val="single" w:sz="4" w:space="0" w:color="auto"/>
                    <w:left w:val="nil"/>
                    <w:bottom w:val="nil"/>
                    <w:right w:val="single" w:sz="4" w:space="0" w:color="auto"/>
                  </w:tcBorders>
                  <w:shd w:val="clear" w:color="auto" w:fill="auto"/>
                  <w:noWrap/>
                  <w:vAlign w:val="bottom"/>
                  <w:hideMark/>
                </w:tcPr>
                <w:p w14:paraId="70464BC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4.85</w:t>
                  </w:r>
                </w:p>
              </w:tc>
              <w:tc>
                <w:tcPr>
                  <w:tcW w:w="667" w:type="dxa"/>
                  <w:tcBorders>
                    <w:top w:val="single" w:sz="4" w:space="0" w:color="auto"/>
                    <w:left w:val="nil"/>
                    <w:bottom w:val="nil"/>
                    <w:right w:val="nil"/>
                  </w:tcBorders>
                  <w:shd w:val="clear" w:color="auto" w:fill="auto"/>
                  <w:noWrap/>
                  <w:vAlign w:val="bottom"/>
                  <w:hideMark/>
                </w:tcPr>
                <w:p w14:paraId="53D5FFB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0.035</w:t>
                  </w:r>
                </w:p>
              </w:tc>
              <w:tc>
                <w:tcPr>
                  <w:tcW w:w="1359" w:type="dxa"/>
                  <w:tcBorders>
                    <w:top w:val="single" w:sz="4" w:space="0" w:color="auto"/>
                    <w:left w:val="nil"/>
                    <w:bottom w:val="nil"/>
                    <w:right w:val="nil"/>
                  </w:tcBorders>
                  <w:shd w:val="clear" w:color="auto" w:fill="auto"/>
                  <w:noWrap/>
                  <w:vAlign w:val="bottom"/>
                  <w:hideMark/>
                </w:tcPr>
                <w:p w14:paraId="53C0C59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(0.019,0.047)</w:t>
                  </w:r>
                </w:p>
              </w:tc>
              <w:tc>
                <w:tcPr>
                  <w:tcW w:w="667" w:type="dxa"/>
                  <w:tcBorders>
                    <w:top w:val="single" w:sz="4" w:space="0" w:color="auto"/>
                    <w:left w:val="nil"/>
                    <w:bottom w:val="nil"/>
                    <w:right w:val="nil"/>
                  </w:tcBorders>
                  <w:shd w:val="clear" w:color="auto" w:fill="auto"/>
                  <w:noWrap/>
                  <w:vAlign w:val="bottom"/>
                  <w:hideMark/>
                </w:tcPr>
                <w:p w14:paraId="2569C43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single" w:sz="4" w:space="0" w:color="auto"/>
                    <w:left w:val="nil"/>
                    <w:bottom w:val="nil"/>
                    <w:right w:val="single" w:sz="4" w:space="0" w:color="auto"/>
                  </w:tcBorders>
                  <w:shd w:val="clear" w:color="auto" w:fill="auto"/>
                  <w:noWrap/>
                  <w:vAlign w:val="bottom"/>
                  <w:hideMark/>
                </w:tcPr>
                <w:p w14:paraId="659A5EC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(0.038,0.055)</w:t>
                  </w:r>
                </w:p>
              </w:tc>
            </w:tr>
            <w:tr w:rsidR="00B9388C" w:rsidRPr="00B9388C" w14:paraId="64288AEA"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594B297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2</w:t>
                  </w:r>
                </w:p>
              </w:tc>
              <w:tc>
                <w:tcPr>
                  <w:tcW w:w="2060" w:type="dxa"/>
                  <w:tcBorders>
                    <w:top w:val="nil"/>
                    <w:left w:val="nil"/>
                    <w:bottom w:val="nil"/>
                    <w:right w:val="single" w:sz="4" w:space="0" w:color="auto"/>
                  </w:tcBorders>
                  <w:shd w:val="clear" w:color="auto" w:fill="auto"/>
                  <w:noWrap/>
                  <w:vAlign w:val="bottom"/>
                  <w:hideMark/>
                </w:tcPr>
                <w:p w14:paraId="33838EEE" w14:textId="0EAA546B"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All industry</w:t>
                  </w:r>
                  <w:r w:rsidR="00E636FB">
                    <w:rPr>
                      <w:rFonts w:ascii="Arial" w:eastAsia="Times New Roman" w:hAnsi="Arial" w:cs="Arial"/>
                      <w:sz w:val="18"/>
                      <w:szCs w:val="18"/>
                      <w:lang w:eastAsia="en-ZA"/>
                    </w:rPr>
                    <w:t>*</w:t>
                  </w:r>
                </w:p>
              </w:tc>
              <w:tc>
                <w:tcPr>
                  <w:tcW w:w="807" w:type="dxa"/>
                  <w:tcBorders>
                    <w:top w:val="nil"/>
                    <w:left w:val="nil"/>
                    <w:bottom w:val="nil"/>
                    <w:right w:val="nil"/>
                  </w:tcBorders>
                  <w:shd w:val="clear" w:color="auto" w:fill="auto"/>
                  <w:noWrap/>
                  <w:vAlign w:val="bottom"/>
                  <w:hideMark/>
                </w:tcPr>
                <w:p w14:paraId="590F173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152.25</w:t>
                  </w:r>
                </w:p>
              </w:tc>
              <w:tc>
                <w:tcPr>
                  <w:tcW w:w="1595" w:type="dxa"/>
                  <w:tcBorders>
                    <w:top w:val="nil"/>
                    <w:left w:val="nil"/>
                    <w:bottom w:val="nil"/>
                    <w:right w:val="nil"/>
                  </w:tcBorders>
                  <w:shd w:val="clear" w:color="auto" w:fill="auto"/>
                  <w:noWrap/>
                  <w:vAlign w:val="bottom"/>
                  <w:hideMark/>
                </w:tcPr>
                <w:p w14:paraId="32FAF2F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(142.32,158.18) </w:t>
                  </w:r>
                </w:p>
              </w:tc>
              <w:tc>
                <w:tcPr>
                  <w:tcW w:w="767" w:type="dxa"/>
                  <w:tcBorders>
                    <w:top w:val="nil"/>
                    <w:left w:val="nil"/>
                    <w:bottom w:val="nil"/>
                    <w:right w:val="nil"/>
                  </w:tcBorders>
                  <w:shd w:val="clear" w:color="auto" w:fill="auto"/>
                  <w:noWrap/>
                  <w:vAlign w:val="bottom"/>
                  <w:hideMark/>
                </w:tcPr>
                <w:p w14:paraId="604716D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151.17</w:t>
                  </w:r>
                </w:p>
              </w:tc>
              <w:tc>
                <w:tcPr>
                  <w:tcW w:w="687" w:type="dxa"/>
                  <w:tcBorders>
                    <w:top w:val="nil"/>
                    <w:left w:val="nil"/>
                    <w:bottom w:val="nil"/>
                    <w:right w:val="nil"/>
                  </w:tcBorders>
                  <w:shd w:val="clear" w:color="auto" w:fill="auto"/>
                  <w:noWrap/>
                  <w:vAlign w:val="bottom"/>
                  <w:hideMark/>
                </w:tcPr>
                <w:p w14:paraId="22430EC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5.06</w:t>
                  </w:r>
                </w:p>
              </w:tc>
              <w:tc>
                <w:tcPr>
                  <w:tcW w:w="807" w:type="dxa"/>
                  <w:tcBorders>
                    <w:top w:val="nil"/>
                    <w:left w:val="single" w:sz="4" w:space="0" w:color="auto"/>
                    <w:bottom w:val="nil"/>
                    <w:right w:val="nil"/>
                  </w:tcBorders>
                  <w:shd w:val="clear" w:color="auto" w:fill="auto"/>
                  <w:noWrap/>
                  <w:vAlign w:val="bottom"/>
                  <w:hideMark/>
                </w:tcPr>
                <w:p w14:paraId="019B447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153.04</w:t>
                  </w:r>
                </w:p>
              </w:tc>
              <w:tc>
                <w:tcPr>
                  <w:tcW w:w="1595" w:type="dxa"/>
                  <w:tcBorders>
                    <w:top w:val="nil"/>
                    <w:left w:val="nil"/>
                    <w:bottom w:val="nil"/>
                    <w:right w:val="nil"/>
                  </w:tcBorders>
                  <w:shd w:val="clear" w:color="auto" w:fill="auto"/>
                  <w:noWrap/>
                  <w:vAlign w:val="bottom"/>
                  <w:hideMark/>
                </w:tcPr>
                <w:p w14:paraId="3C9D232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7359636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150.00</w:t>
                  </w:r>
                </w:p>
              </w:tc>
              <w:tc>
                <w:tcPr>
                  <w:tcW w:w="809" w:type="dxa"/>
                  <w:tcBorders>
                    <w:top w:val="nil"/>
                    <w:left w:val="nil"/>
                    <w:bottom w:val="nil"/>
                    <w:right w:val="single" w:sz="4" w:space="0" w:color="auto"/>
                  </w:tcBorders>
                  <w:shd w:val="clear" w:color="auto" w:fill="auto"/>
                  <w:noWrap/>
                  <w:vAlign w:val="bottom"/>
                  <w:hideMark/>
                </w:tcPr>
                <w:p w14:paraId="4748725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4.53</w:t>
                  </w:r>
                </w:p>
              </w:tc>
              <w:tc>
                <w:tcPr>
                  <w:tcW w:w="667" w:type="dxa"/>
                  <w:tcBorders>
                    <w:top w:val="nil"/>
                    <w:left w:val="nil"/>
                    <w:bottom w:val="nil"/>
                    <w:right w:val="nil"/>
                  </w:tcBorders>
                  <w:shd w:val="clear" w:color="auto" w:fill="auto"/>
                  <w:noWrap/>
                  <w:vAlign w:val="bottom"/>
                  <w:hideMark/>
                </w:tcPr>
                <w:p w14:paraId="4157455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0.031</w:t>
                  </w:r>
                </w:p>
              </w:tc>
              <w:tc>
                <w:tcPr>
                  <w:tcW w:w="1359" w:type="dxa"/>
                  <w:tcBorders>
                    <w:top w:val="nil"/>
                    <w:left w:val="nil"/>
                    <w:bottom w:val="nil"/>
                    <w:right w:val="nil"/>
                  </w:tcBorders>
                  <w:shd w:val="clear" w:color="auto" w:fill="auto"/>
                  <w:noWrap/>
                  <w:vAlign w:val="bottom"/>
                  <w:hideMark/>
                </w:tcPr>
                <w:p w14:paraId="4C0C6E0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(0.016,0.045)</w:t>
                  </w:r>
                </w:p>
              </w:tc>
              <w:tc>
                <w:tcPr>
                  <w:tcW w:w="667" w:type="dxa"/>
                  <w:tcBorders>
                    <w:top w:val="nil"/>
                    <w:left w:val="nil"/>
                    <w:bottom w:val="nil"/>
                    <w:right w:val="nil"/>
                  </w:tcBorders>
                  <w:shd w:val="clear" w:color="auto" w:fill="auto"/>
                  <w:noWrap/>
                  <w:vAlign w:val="bottom"/>
                  <w:hideMark/>
                </w:tcPr>
                <w:p w14:paraId="13E6D93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1A26F8E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(0.040,0.062)</w:t>
                  </w:r>
                </w:p>
              </w:tc>
            </w:tr>
            <w:tr w:rsidR="00B9388C" w:rsidRPr="00B9388C" w14:paraId="782774AE"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026625A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w:t>
                  </w:r>
                </w:p>
              </w:tc>
              <w:tc>
                <w:tcPr>
                  <w:tcW w:w="2060" w:type="dxa"/>
                  <w:tcBorders>
                    <w:top w:val="nil"/>
                    <w:left w:val="nil"/>
                    <w:bottom w:val="nil"/>
                    <w:right w:val="single" w:sz="4" w:space="0" w:color="auto"/>
                  </w:tcBorders>
                  <w:shd w:val="clear" w:color="auto" w:fill="auto"/>
                  <w:noWrap/>
                  <w:vAlign w:val="bottom"/>
                  <w:hideMark/>
                </w:tcPr>
                <w:p w14:paraId="23BF27B3" w14:textId="37753FAC"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Every 2nd year</w:t>
                  </w:r>
                  <w:r w:rsidR="00E636FB">
                    <w:rPr>
                      <w:rFonts w:ascii="Arial" w:eastAsia="Times New Roman" w:hAnsi="Arial" w:cs="Arial"/>
                      <w:sz w:val="18"/>
                      <w:szCs w:val="18"/>
                      <w:lang w:eastAsia="en-ZA"/>
                    </w:rPr>
                    <w:t>*</w:t>
                  </w:r>
                </w:p>
              </w:tc>
              <w:tc>
                <w:tcPr>
                  <w:tcW w:w="807" w:type="dxa"/>
                  <w:tcBorders>
                    <w:top w:val="nil"/>
                    <w:left w:val="nil"/>
                    <w:bottom w:val="nil"/>
                    <w:right w:val="nil"/>
                  </w:tcBorders>
                  <w:shd w:val="clear" w:color="auto" w:fill="auto"/>
                  <w:noWrap/>
                  <w:vAlign w:val="bottom"/>
                  <w:hideMark/>
                </w:tcPr>
                <w:p w14:paraId="7762C21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152.34</w:t>
                  </w:r>
                </w:p>
              </w:tc>
              <w:tc>
                <w:tcPr>
                  <w:tcW w:w="1595" w:type="dxa"/>
                  <w:tcBorders>
                    <w:top w:val="nil"/>
                    <w:left w:val="nil"/>
                    <w:bottom w:val="nil"/>
                    <w:right w:val="nil"/>
                  </w:tcBorders>
                  <w:shd w:val="clear" w:color="auto" w:fill="auto"/>
                  <w:noWrap/>
                  <w:vAlign w:val="bottom"/>
                  <w:hideMark/>
                </w:tcPr>
                <w:p w14:paraId="22BBCDF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(143.35,157.50) </w:t>
                  </w:r>
                </w:p>
              </w:tc>
              <w:tc>
                <w:tcPr>
                  <w:tcW w:w="767" w:type="dxa"/>
                  <w:tcBorders>
                    <w:top w:val="nil"/>
                    <w:left w:val="nil"/>
                    <w:bottom w:val="nil"/>
                    <w:right w:val="nil"/>
                  </w:tcBorders>
                  <w:shd w:val="clear" w:color="auto" w:fill="auto"/>
                  <w:noWrap/>
                  <w:vAlign w:val="bottom"/>
                  <w:hideMark/>
                </w:tcPr>
                <w:p w14:paraId="19D90A7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151.31</w:t>
                  </w:r>
                </w:p>
              </w:tc>
              <w:tc>
                <w:tcPr>
                  <w:tcW w:w="687" w:type="dxa"/>
                  <w:tcBorders>
                    <w:top w:val="nil"/>
                    <w:left w:val="nil"/>
                    <w:bottom w:val="nil"/>
                    <w:right w:val="nil"/>
                  </w:tcBorders>
                  <w:shd w:val="clear" w:color="auto" w:fill="auto"/>
                  <w:noWrap/>
                  <w:vAlign w:val="bottom"/>
                  <w:hideMark/>
                </w:tcPr>
                <w:p w14:paraId="3672741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5.38</w:t>
                  </w:r>
                </w:p>
              </w:tc>
              <w:tc>
                <w:tcPr>
                  <w:tcW w:w="807" w:type="dxa"/>
                  <w:tcBorders>
                    <w:top w:val="nil"/>
                    <w:left w:val="single" w:sz="4" w:space="0" w:color="auto"/>
                    <w:bottom w:val="nil"/>
                    <w:right w:val="nil"/>
                  </w:tcBorders>
                  <w:shd w:val="clear" w:color="auto" w:fill="auto"/>
                  <w:noWrap/>
                  <w:vAlign w:val="bottom"/>
                  <w:hideMark/>
                </w:tcPr>
                <w:p w14:paraId="5FDD0E9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153.08</w:t>
                  </w:r>
                </w:p>
              </w:tc>
              <w:tc>
                <w:tcPr>
                  <w:tcW w:w="1595" w:type="dxa"/>
                  <w:tcBorders>
                    <w:top w:val="nil"/>
                    <w:left w:val="nil"/>
                    <w:bottom w:val="nil"/>
                    <w:right w:val="nil"/>
                  </w:tcBorders>
                  <w:shd w:val="clear" w:color="auto" w:fill="auto"/>
                  <w:noWrap/>
                  <w:vAlign w:val="bottom"/>
                  <w:hideMark/>
                </w:tcPr>
                <w:p w14:paraId="3E85AE7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2981FAF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150.50</w:t>
                  </w:r>
                </w:p>
              </w:tc>
              <w:tc>
                <w:tcPr>
                  <w:tcW w:w="809" w:type="dxa"/>
                  <w:tcBorders>
                    <w:top w:val="nil"/>
                    <w:left w:val="nil"/>
                    <w:bottom w:val="nil"/>
                    <w:right w:val="single" w:sz="4" w:space="0" w:color="auto"/>
                  </w:tcBorders>
                  <w:shd w:val="clear" w:color="auto" w:fill="auto"/>
                  <w:noWrap/>
                  <w:vAlign w:val="bottom"/>
                  <w:hideMark/>
                </w:tcPr>
                <w:p w14:paraId="7A86C93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4.15</w:t>
                  </w:r>
                </w:p>
              </w:tc>
              <w:tc>
                <w:tcPr>
                  <w:tcW w:w="667" w:type="dxa"/>
                  <w:tcBorders>
                    <w:top w:val="nil"/>
                    <w:left w:val="nil"/>
                    <w:bottom w:val="nil"/>
                    <w:right w:val="nil"/>
                  </w:tcBorders>
                  <w:shd w:val="clear" w:color="auto" w:fill="auto"/>
                  <w:noWrap/>
                  <w:vAlign w:val="bottom"/>
                  <w:hideMark/>
                </w:tcPr>
                <w:p w14:paraId="1FE27F9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0.033</w:t>
                  </w:r>
                </w:p>
              </w:tc>
              <w:tc>
                <w:tcPr>
                  <w:tcW w:w="1359" w:type="dxa"/>
                  <w:tcBorders>
                    <w:top w:val="nil"/>
                    <w:left w:val="nil"/>
                    <w:bottom w:val="nil"/>
                    <w:right w:val="nil"/>
                  </w:tcBorders>
                  <w:shd w:val="clear" w:color="auto" w:fill="auto"/>
                  <w:noWrap/>
                  <w:vAlign w:val="bottom"/>
                  <w:hideMark/>
                </w:tcPr>
                <w:p w14:paraId="4F450B95"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(0.017,0.045)</w:t>
                  </w:r>
                </w:p>
              </w:tc>
              <w:tc>
                <w:tcPr>
                  <w:tcW w:w="667" w:type="dxa"/>
                  <w:tcBorders>
                    <w:top w:val="nil"/>
                    <w:left w:val="nil"/>
                    <w:bottom w:val="nil"/>
                    <w:right w:val="nil"/>
                  </w:tcBorders>
                  <w:shd w:val="clear" w:color="auto" w:fill="auto"/>
                  <w:noWrap/>
                  <w:vAlign w:val="bottom"/>
                  <w:hideMark/>
                </w:tcPr>
                <w:p w14:paraId="26DA438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1E5D30D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(0.040,0.060)</w:t>
                  </w:r>
                </w:p>
              </w:tc>
            </w:tr>
            <w:tr w:rsidR="00B9388C" w:rsidRPr="00B9388C" w14:paraId="0C94534F"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1CB4297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w:t>
                  </w:r>
                </w:p>
              </w:tc>
              <w:tc>
                <w:tcPr>
                  <w:tcW w:w="2060" w:type="dxa"/>
                  <w:tcBorders>
                    <w:top w:val="nil"/>
                    <w:left w:val="nil"/>
                    <w:bottom w:val="nil"/>
                    <w:right w:val="single" w:sz="4" w:space="0" w:color="auto"/>
                  </w:tcBorders>
                  <w:shd w:val="clear" w:color="auto" w:fill="auto"/>
                  <w:noWrap/>
                  <w:vAlign w:val="bottom"/>
                  <w:hideMark/>
                </w:tcPr>
                <w:p w14:paraId="46A8074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RC + UCI</w:t>
                  </w:r>
                </w:p>
              </w:tc>
              <w:tc>
                <w:tcPr>
                  <w:tcW w:w="807" w:type="dxa"/>
                  <w:tcBorders>
                    <w:top w:val="nil"/>
                    <w:left w:val="nil"/>
                    <w:bottom w:val="nil"/>
                    <w:right w:val="nil"/>
                  </w:tcBorders>
                  <w:shd w:val="clear" w:color="auto" w:fill="auto"/>
                  <w:noWrap/>
                  <w:vAlign w:val="bottom"/>
                  <w:hideMark/>
                </w:tcPr>
                <w:p w14:paraId="372D414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157.35</w:t>
                  </w:r>
                </w:p>
              </w:tc>
              <w:tc>
                <w:tcPr>
                  <w:tcW w:w="1595" w:type="dxa"/>
                  <w:tcBorders>
                    <w:top w:val="nil"/>
                    <w:left w:val="nil"/>
                    <w:bottom w:val="nil"/>
                    <w:right w:val="nil"/>
                  </w:tcBorders>
                  <w:shd w:val="clear" w:color="auto" w:fill="auto"/>
                  <w:noWrap/>
                  <w:vAlign w:val="bottom"/>
                  <w:hideMark/>
                </w:tcPr>
                <w:p w14:paraId="5E2F44D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(149.92,159.13) </w:t>
                  </w:r>
                </w:p>
              </w:tc>
              <w:tc>
                <w:tcPr>
                  <w:tcW w:w="767" w:type="dxa"/>
                  <w:tcBorders>
                    <w:top w:val="nil"/>
                    <w:left w:val="nil"/>
                    <w:bottom w:val="nil"/>
                    <w:right w:val="nil"/>
                  </w:tcBorders>
                  <w:shd w:val="clear" w:color="auto" w:fill="auto"/>
                  <w:noWrap/>
                  <w:vAlign w:val="bottom"/>
                  <w:hideMark/>
                </w:tcPr>
                <w:p w14:paraId="567107C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156.02</w:t>
                  </w:r>
                </w:p>
              </w:tc>
              <w:tc>
                <w:tcPr>
                  <w:tcW w:w="687" w:type="dxa"/>
                  <w:tcBorders>
                    <w:top w:val="nil"/>
                    <w:left w:val="nil"/>
                    <w:bottom w:val="nil"/>
                    <w:right w:val="nil"/>
                  </w:tcBorders>
                  <w:shd w:val="clear" w:color="auto" w:fill="auto"/>
                  <w:noWrap/>
                  <w:vAlign w:val="bottom"/>
                  <w:hideMark/>
                </w:tcPr>
                <w:p w14:paraId="494554E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3.60</w:t>
                  </w:r>
                </w:p>
              </w:tc>
              <w:tc>
                <w:tcPr>
                  <w:tcW w:w="807" w:type="dxa"/>
                  <w:tcBorders>
                    <w:top w:val="nil"/>
                    <w:left w:val="single" w:sz="4" w:space="0" w:color="auto"/>
                    <w:bottom w:val="nil"/>
                    <w:right w:val="nil"/>
                  </w:tcBorders>
                  <w:shd w:val="clear" w:color="auto" w:fill="auto"/>
                  <w:noWrap/>
                  <w:vAlign w:val="bottom"/>
                  <w:hideMark/>
                </w:tcPr>
                <w:p w14:paraId="03D737C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153.48</w:t>
                  </w:r>
                </w:p>
              </w:tc>
              <w:tc>
                <w:tcPr>
                  <w:tcW w:w="1595" w:type="dxa"/>
                  <w:tcBorders>
                    <w:top w:val="nil"/>
                    <w:left w:val="nil"/>
                    <w:bottom w:val="nil"/>
                    <w:right w:val="nil"/>
                  </w:tcBorders>
                  <w:shd w:val="clear" w:color="auto" w:fill="auto"/>
                  <w:noWrap/>
                  <w:vAlign w:val="bottom"/>
                  <w:hideMark/>
                </w:tcPr>
                <w:p w14:paraId="72838B8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3B8DC49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151.05</w:t>
                  </w:r>
                </w:p>
              </w:tc>
              <w:tc>
                <w:tcPr>
                  <w:tcW w:w="809" w:type="dxa"/>
                  <w:tcBorders>
                    <w:top w:val="nil"/>
                    <w:left w:val="nil"/>
                    <w:bottom w:val="nil"/>
                    <w:right w:val="single" w:sz="4" w:space="0" w:color="auto"/>
                  </w:tcBorders>
                  <w:shd w:val="clear" w:color="auto" w:fill="auto"/>
                  <w:noWrap/>
                  <w:vAlign w:val="bottom"/>
                  <w:hideMark/>
                </w:tcPr>
                <w:p w14:paraId="48BCA8F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3.92</w:t>
                  </w:r>
                </w:p>
              </w:tc>
              <w:tc>
                <w:tcPr>
                  <w:tcW w:w="667" w:type="dxa"/>
                  <w:tcBorders>
                    <w:top w:val="nil"/>
                    <w:left w:val="nil"/>
                    <w:bottom w:val="nil"/>
                    <w:right w:val="nil"/>
                  </w:tcBorders>
                  <w:shd w:val="clear" w:color="auto" w:fill="auto"/>
                  <w:noWrap/>
                  <w:vAlign w:val="bottom"/>
                  <w:hideMark/>
                </w:tcPr>
                <w:p w14:paraId="08AA846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0.019</w:t>
                  </w:r>
                </w:p>
              </w:tc>
              <w:tc>
                <w:tcPr>
                  <w:tcW w:w="1359" w:type="dxa"/>
                  <w:tcBorders>
                    <w:top w:val="nil"/>
                    <w:left w:val="nil"/>
                    <w:bottom w:val="nil"/>
                    <w:right w:val="nil"/>
                  </w:tcBorders>
                  <w:shd w:val="clear" w:color="auto" w:fill="auto"/>
                  <w:noWrap/>
                  <w:vAlign w:val="bottom"/>
                  <w:hideMark/>
                </w:tcPr>
                <w:p w14:paraId="10A5AB7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(0.008,0.034)</w:t>
                  </w:r>
                </w:p>
              </w:tc>
              <w:tc>
                <w:tcPr>
                  <w:tcW w:w="667" w:type="dxa"/>
                  <w:tcBorders>
                    <w:top w:val="nil"/>
                    <w:left w:val="nil"/>
                    <w:bottom w:val="nil"/>
                    <w:right w:val="nil"/>
                  </w:tcBorders>
                  <w:shd w:val="clear" w:color="auto" w:fill="auto"/>
                  <w:noWrap/>
                  <w:vAlign w:val="bottom"/>
                  <w:hideMark/>
                </w:tcPr>
                <w:p w14:paraId="3EAF1A5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5E91707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(0.036,0.055)</w:t>
                  </w:r>
                </w:p>
              </w:tc>
            </w:tr>
            <w:tr w:rsidR="00B9388C" w:rsidRPr="00B9388C" w14:paraId="4AE4F2F7" w14:textId="77777777" w:rsidTr="00FF7098">
              <w:trPr>
                <w:trHeight w:val="255"/>
                <w:jc w:val="center"/>
              </w:trPr>
              <w:tc>
                <w:tcPr>
                  <w:tcW w:w="417" w:type="dxa"/>
                  <w:tcBorders>
                    <w:top w:val="nil"/>
                    <w:left w:val="single" w:sz="4" w:space="0" w:color="auto"/>
                    <w:bottom w:val="single" w:sz="4" w:space="0" w:color="auto"/>
                    <w:right w:val="nil"/>
                  </w:tcBorders>
                  <w:shd w:val="clear" w:color="auto" w:fill="auto"/>
                  <w:noWrap/>
                  <w:vAlign w:val="bottom"/>
                  <w:hideMark/>
                </w:tcPr>
                <w:p w14:paraId="314CBB8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w:t>
                  </w:r>
                </w:p>
              </w:tc>
              <w:tc>
                <w:tcPr>
                  <w:tcW w:w="2060" w:type="dxa"/>
                  <w:tcBorders>
                    <w:top w:val="nil"/>
                    <w:left w:val="nil"/>
                    <w:bottom w:val="single" w:sz="4" w:space="0" w:color="auto"/>
                    <w:right w:val="single" w:sz="4" w:space="0" w:color="auto"/>
                  </w:tcBorders>
                  <w:shd w:val="clear" w:color="auto" w:fill="auto"/>
                  <w:noWrap/>
                  <w:vAlign w:val="bottom"/>
                  <w:hideMark/>
                </w:tcPr>
                <w:p w14:paraId="67C28B2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NS+ UCI</w:t>
                  </w:r>
                </w:p>
              </w:tc>
              <w:tc>
                <w:tcPr>
                  <w:tcW w:w="807" w:type="dxa"/>
                  <w:tcBorders>
                    <w:top w:val="nil"/>
                    <w:left w:val="nil"/>
                    <w:bottom w:val="single" w:sz="4" w:space="0" w:color="auto"/>
                    <w:right w:val="nil"/>
                  </w:tcBorders>
                  <w:shd w:val="clear" w:color="auto" w:fill="auto"/>
                  <w:noWrap/>
                  <w:vAlign w:val="bottom"/>
                  <w:hideMark/>
                </w:tcPr>
                <w:p w14:paraId="2D61F71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157.57</w:t>
                  </w:r>
                </w:p>
              </w:tc>
              <w:tc>
                <w:tcPr>
                  <w:tcW w:w="1595" w:type="dxa"/>
                  <w:tcBorders>
                    <w:top w:val="nil"/>
                    <w:left w:val="nil"/>
                    <w:bottom w:val="single" w:sz="4" w:space="0" w:color="auto"/>
                    <w:right w:val="nil"/>
                  </w:tcBorders>
                  <w:shd w:val="clear" w:color="auto" w:fill="auto"/>
                  <w:noWrap/>
                  <w:vAlign w:val="bottom"/>
                  <w:hideMark/>
                </w:tcPr>
                <w:p w14:paraId="2252157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(151.55,159.13) </w:t>
                  </w:r>
                </w:p>
              </w:tc>
              <w:tc>
                <w:tcPr>
                  <w:tcW w:w="767" w:type="dxa"/>
                  <w:tcBorders>
                    <w:top w:val="nil"/>
                    <w:left w:val="nil"/>
                    <w:bottom w:val="single" w:sz="4" w:space="0" w:color="auto"/>
                    <w:right w:val="nil"/>
                  </w:tcBorders>
                  <w:shd w:val="clear" w:color="auto" w:fill="auto"/>
                  <w:noWrap/>
                  <w:vAlign w:val="bottom"/>
                  <w:hideMark/>
                </w:tcPr>
                <w:p w14:paraId="420E285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156.37</w:t>
                  </w:r>
                </w:p>
              </w:tc>
              <w:tc>
                <w:tcPr>
                  <w:tcW w:w="687" w:type="dxa"/>
                  <w:tcBorders>
                    <w:top w:val="nil"/>
                    <w:left w:val="nil"/>
                    <w:bottom w:val="single" w:sz="4" w:space="0" w:color="auto"/>
                    <w:right w:val="nil"/>
                  </w:tcBorders>
                  <w:shd w:val="clear" w:color="auto" w:fill="auto"/>
                  <w:noWrap/>
                  <w:vAlign w:val="bottom"/>
                  <w:hideMark/>
                </w:tcPr>
                <w:p w14:paraId="342F18C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3.57</w:t>
                  </w:r>
                </w:p>
              </w:tc>
              <w:tc>
                <w:tcPr>
                  <w:tcW w:w="807" w:type="dxa"/>
                  <w:tcBorders>
                    <w:top w:val="nil"/>
                    <w:left w:val="single" w:sz="4" w:space="0" w:color="auto"/>
                    <w:bottom w:val="single" w:sz="4" w:space="0" w:color="auto"/>
                    <w:right w:val="nil"/>
                  </w:tcBorders>
                  <w:shd w:val="clear" w:color="auto" w:fill="auto"/>
                  <w:noWrap/>
                  <w:vAlign w:val="bottom"/>
                  <w:hideMark/>
                </w:tcPr>
                <w:p w14:paraId="0DD57AF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152.33</w:t>
                  </w:r>
                </w:p>
              </w:tc>
              <w:tc>
                <w:tcPr>
                  <w:tcW w:w="1595" w:type="dxa"/>
                  <w:tcBorders>
                    <w:top w:val="nil"/>
                    <w:left w:val="nil"/>
                    <w:bottom w:val="single" w:sz="4" w:space="0" w:color="auto"/>
                    <w:right w:val="nil"/>
                  </w:tcBorders>
                  <w:shd w:val="clear" w:color="auto" w:fill="auto"/>
                  <w:noWrap/>
                  <w:vAlign w:val="bottom"/>
                  <w:hideMark/>
                </w:tcPr>
                <w:p w14:paraId="51DAD07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single" w:sz="4" w:space="0" w:color="auto"/>
                    <w:right w:val="nil"/>
                  </w:tcBorders>
                  <w:shd w:val="clear" w:color="auto" w:fill="auto"/>
                  <w:noWrap/>
                  <w:vAlign w:val="bottom"/>
                  <w:hideMark/>
                </w:tcPr>
                <w:p w14:paraId="527D09D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149.98</w:t>
                  </w:r>
                </w:p>
              </w:tc>
              <w:tc>
                <w:tcPr>
                  <w:tcW w:w="809" w:type="dxa"/>
                  <w:tcBorders>
                    <w:top w:val="nil"/>
                    <w:left w:val="nil"/>
                    <w:bottom w:val="single" w:sz="4" w:space="0" w:color="auto"/>
                    <w:right w:val="single" w:sz="4" w:space="0" w:color="auto"/>
                  </w:tcBorders>
                  <w:shd w:val="clear" w:color="auto" w:fill="auto"/>
                  <w:noWrap/>
                  <w:vAlign w:val="bottom"/>
                  <w:hideMark/>
                </w:tcPr>
                <w:p w14:paraId="21EEC94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4.41</w:t>
                  </w:r>
                </w:p>
              </w:tc>
              <w:tc>
                <w:tcPr>
                  <w:tcW w:w="667" w:type="dxa"/>
                  <w:tcBorders>
                    <w:top w:val="nil"/>
                    <w:left w:val="nil"/>
                    <w:bottom w:val="single" w:sz="4" w:space="0" w:color="auto"/>
                    <w:right w:val="nil"/>
                  </w:tcBorders>
                  <w:shd w:val="clear" w:color="auto" w:fill="auto"/>
                  <w:noWrap/>
                  <w:vAlign w:val="bottom"/>
                  <w:hideMark/>
                </w:tcPr>
                <w:p w14:paraId="60ABA82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0.016</w:t>
                  </w:r>
                </w:p>
              </w:tc>
              <w:tc>
                <w:tcPr>
                  <w:tcW w:w="1359" w:type="dxa"/>
                  <w:tcBorders>
                    <w:top w:val="nil"/>
                    <w:left w:val="nil"/>
                    <w:bottom w:val="single" w:sz="4" w:space="0" w:color="auto"/>
                    <w:right w:val="nil"/>
                  </w:tcBorders>
                  <w:shd w:val="clear" w:color="auto" w:fill="auto"/>
                  <w:noWrap/>
                  <w:vAlign w:val="bottom"/>
                  <w:hideMark/>
                </w:tcPr>
                <w:p w14:paraId="345E4BA3"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(0.008,0.032)</w:t>
                  </w:r>
                </w:p>
              </w:tc>
              <w:tc>
                <w:tcPr>
                  <w:tcW w:w="667" w:type="dxa"/>
                  <w:tcBorders>
                    <w:top w:val="nil"/>
                    <w:left w:val="nil"/>
                    <w:bottom w:val="single" w:sz="4" w:space="0" w:color="auto"/>
                    <w:right w:val="nil"/>
                  </w:tcBorders>
                  <w:shd w:val="clear" w:color="auto" w:fill="auto"/>
                  <w:noWrap/>
                  <w:vAlign w:val="bottom"/>
                  <w:hideMark/>
                </w:tcPr>
                <w:p w14:paraId="20888EE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single" w:sz="4" w:space="0" w:color="auto"/>
                    <w:right w:val="single" w:sz="4" w:space="0" w:color="auto"/>
                  </w:tcBorders>
                  <w:shd w:val="clear" w:color="auto" w:fill="auto"/>
                  <w:noWrap/>
                  <w:vAlign w:val="bottom"/>
                  <w:hideMark/>
                </w:tcPr>
                <w:p w14:paraId="31DEC980"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(0.038,0.055)</w:t>
                  </w:r>
                </w:p>
              </w:tc>
            </w:tr>
            <w:tr w:rsidR="00B9388C" w:rsidRPr="00B9388C" w14:paraId="0AFC25F9"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4C49C1C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6</w:t>
                  </w:r>
                </w:p>
              </w:tc>
              <w:tc>
                <w:tcPr>
                  <w:tcW w:w="2060" w:type="dxa"/>
                  <w:tcBorders>
                    <w:top w:val="nil"/>
                    <w:left w:val="nil"/>
                    <w:bottom w:val="nil"/>
                    <w:right w:val="single" w:sz="4" w:space="0" w:color="auto"/>
                  </w:tcBorders>
                  <w:shd w:val="clear" w:color="auto" w:fill="auto"/>
                  <w:noWrap/>
                  <w:vAlign w:val="bottom"/>
                  <w:hideMark/>
                </w:tcPr>
                <w:p w14:paraId="449CA7A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Original mortality</w:t>
                  </w:r>
                </w:p>
              </w:tc>
              <w:tc>
                <w:tcPr>
                  <w:tcW w:w="807" w:type="dxa"/>
                  <w:tcBorders>
                    <w:top w:val="nil"/>
                    <w:left w:val="nil"/>
                    <w:bottom w:val="nil"/>
                    <w:right w:val="nil"/>
                  </w:tcBorders>
                  <w:shd w:val="clear" w:color="auto" w:fill="auto"/>
                  <w:noWrap/>
                  <w:vAlign w:val="bottom"/>
                  <w:hideMark/>
                </w:tcPr>
                <w:p w14:paraId="48D92EE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152.89</w:t>
                  </w:r>
                </w:p>
              </w:tc>
              <w:tc>
                <w:tcPr>
                  <w:tcW w:w="1595" w:type="dxa"/>
                  <w:tcBorders>
                    <w:top w:val="nil"/>
                    <w:left w:val="nil"/>
                    <w:bottom w:val="nil"/>
                    <w:right w:val="nil"/>
                  </w:tcBorders>
                  <w:shd w:val="clear" w:color="auto" w:fill="auto"/>
                  <w:noWrap/>
                  <w:vAlign w:val="bottom"/>
                  <w:hideMark/>
                </w:tcPr>
                <w:p w14:paraId="4EEA11D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(145.86,158.94) </w:t>
                  </w:r>
                </w:p>
              </w:tc>
              <w:tc>
                <w:tcPr>
                  <w:tcW w:w="767" w:type="dxa"/>
                  <w:tcBorders>
                    <w:top w:val="nil"/>
                    <w:left w:val="nil"/>
                    <w:bottom w:val="nil"/>
                    <w:right w:val="nil"/>
                  </w:tcBorders>
                  <w:shd w:val="clear" w:color="auto" w:fill="auto"/>
                  <w:noWrap/>
                  <w:vAlign w:val="bottom"/>
                  <w:hideMark/>
                </w:tcPr>
                <w:p w14:paraId="04BB337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152.48</w:t>
                  </w:r>
                </w:p>
              </w:tc>
              <w:tc>
                <w:tcPr>
                  <w:tcW w:w="687" w:type="dxa"/>
                  <w:tcBorders>
                    <w:top w:val="nil"/>
                    <w:left w:val="nil"/>
                    <w:bottom w:val="nil"/>
                    <w:right w:val="nil"/>
                  </w:tcBorders>
                  <w:shd w:val="clear" w:color="auto" w:fill="auto"/>
                  <w:noWrap/>
                  <w:vAlign w:val="bottom"/>
                  <w:hideMark/>
                </w:tcPr>
                <w:p w14:paraId="1CB2CF6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5.04</w:t>
                  </w:r>
                </w:p>
              </w:tc>
              <w:tc>
                <w:tcPr>
                  <w:tcW w:w="807" w:type="dxa"/>
                  <w:tcBorders>
                    <w:top w:val="nil"/>
                    <w:left w:val="single" w:sz="4" w:space="0" w:color="auto"/>
                    <w:bottom w:val="nil"/>
                    <w:right w:val="nil"/>
                  </w:tcBorders>
                  <w:shd w:val="clear" w:color="auto" w:fill="auto"/>
                  <w:noWrap/>
                  <w:vAlign w:val="bottom"/>
                  <w:hideMark/>
                </w:tcPr>
                <w:p w14:paraId="12CA599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153.48</w:t>
                  </w:r>
                </w:p>
              </w:tc>
              <w:tc>
                <w:tcPr>
                  <w:tcW w:w="1595" w:type="dxa"/>
                  <w:tcBorders>
                    <w:top w:val="nil"/>
                    <w:left w:val="nil"/>
                    <w:bottom w:val="nil"/>
                    <w:right w:val="nil"/>
                  </w:tcBorders>
                  <w:shd w:val="clear" w:color="auto" w:fill="auto"/>
                  <w:noWrap/>
                  <w:vAlign w:val="bottom"/>
                  <w:hideMark/>
                </w:tcPr>
                <w:p w14:paraId="77DC974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64A558C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151.05</w:t>
                  </w:r>
                </w:p>
              </w:tc>
              <w:tc>
                <w:tcPr>
                  <w:tcW w:w="809" w:type="dxa"/>
                  <w:tcBorders>
                    <w:top w:val="nil"/>
                    <w:left w:val="nil"/>
                    <w:bottom w:val="nil"/>
                    <w:right w:val="single" w:sz="4" w:space="0" w:color="auto"/>
                  </w:tcBorders>
                  <w:shd w:val="clear" w:color="auto" w:fill="auto"/>
                  <w:noWrap/>
                  <w:vAlign w:val="bottom"/>
                  <w:hideMark/>
                </w:tcPr>
                <w:p w14:paraId="364CF68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3.92</w:t>
                  </w:r>
                </w:p>
              </w:tc>
              <w:tc>
                <w:tcPr>
                  <w:tcW w:w="667" w:type="dxa"/>
                  <w:tcBorders>
                    <w:top w:val="nil"/>
                    <w:left w:val="nil"/>
                    <w:bottom w:val="nil"/>
                    <w:right w:val="nil"/>
                  </w:tcBorders>
                  <w:shd w:val="clear" w:color="auto" w:fill="auto"/>
                  <w:noWrap/>
                  <w:vAlign w:val="bottom"/>
                  <w:hideMark/>
                </w:tcPr>
                <w:p w14:paraId="4199B5F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0.027</w:t>
                  </w:r>
                </w:p>
              </w:tc>
              <w:tc>
                <w:tcPr>
                  <w:tcW w:w="1359" w:type="dxa"/>
                  <w:tcBorders>
                    <w:top w:val="nil"/>
                    <w:left w:val="nil"/>
                    <w:bottom w:val="nil"/>
                    <w:right w:val="nil"/>
                  </w:tcBorders>
                  <w:shd w:val="clear" w:color="auto" w:fill="auto"/>
                  <w:noWrap/>
                  <w:vAlign w:val="bottom"/>
                  <w:hideMark/>
                </w:tcPr>
                <w:p w14:paraId="40E77FC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(0.009,0.042)</w:t>
                  </w:r>
                </w:p>
              </w:tc>
              <w:tc>
                <w:tcPr>
                  <w:tcW w:w="667" w:type="dxa"/>
                  <w:tcBorders>
                    <w:top w:val="nil"/>
                    <w:left w:val="nil"/>
                    <w:bottom w:val="nil"/>
                    <w:right w:val="nil"/>
                  </w:tcBorders>
                  <w:shd w:val="clear" w:color="auto" w:fill="auto"/>
                  <w:noWrap/>
                  <w:vAlign w:val="bottom"/>
                  <w:hideMark/>
                </w:tcPr>
                <w:p w14:paraId="0C1ED3F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15B63AD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(0.037,0.056)</w:t>
                  </w:r>
                </w:p>
              </w:tc>
            </w:tr>
            <w:tr w:rsidR="00B9388C" w:rsidRPr="00B9388C" w14:paraId="3E410F41"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0649691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7</w:t>
                  </w:r>
                </w:p>
              </w:tc>
              <w:tc>
                <w:tcPr>
                  <w:tcW w:w="2060" w:type="dxa"/>
                  <w:tcBorders>
                    <w:top w:val="nil"/>
                    <w:left w:val="nil"/>
                    <w:bottom w:val="nil"/>
                    <w:right w:val="single" w:sz="4" w:space="0" w:color="auto"/>
                  </w:tcBorders>
                  <w:shd w:val="clear" w:color="auto" w:fill="auto"/>
                  <w:noWrap/>
                  <w:vAlign w:val="bottom"/>
                  <w:hideMark/>
                </w:tcPr>
                <w:p w14:paraId="49519AE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Alg13 sp. Splitting</w:t>
                  </w:r>
                </w:p>
              </w:tc>
              <w:tc>
                <w:tcPr>
                  <w:tcW w:w="807" w:type="dxa"/>
                  <w:tcBorders>
                    <w:top w:val="nil"/>
                    <w:left w:val="nil"/>
                    <w:bottom w:val="nil"/>
                    <w:right w:val="nil"/>
                  </w:tcBorders>
                  <w:shd w:val="clear" w:color="auto" w:fill="auto"/>
                  <w:noWrap/>
                  <w:vAlign w:val="bottom"/>
                  <w:hideMark/>
                </w:tcPr>
                <w:p w14:paraId="5AB174C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156.01</w:t>
                  </w:r>
                </w:p>
              </w:tc>
              <w:tc>
                <w:tcPr>
                  <w:tcW w:w="1595" w:type="dxa"/>
                  <w:tcBorders>
                    <w:top w:val="nil"/>
                    <w:left w:val="nil"/>
                    <w:bottom w:val="nil"/>
                    <w:right w:val="nil"/>
                  </w:tcBorders>
                  <w:shd w:val="clear" w:color="auto" w:fill="auto"/>
                  <w:noWrap/>
                  <w:vAlign w:val="bottom"/>
                  <w:hideMark/>
                </w:tcPr>
                <w:p w14:paraId="64DABC3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(147.85,159.13) </w:t>
                  </w:r>
                </w:p>
              </w:tc>
              <w:tc>
                <w:tcPr>
                  <w:tcW w:w="767" w:type="dxa"/>
                  <w:tcBorders>
                    <w:top w:val="nil"/>
                    <w:left w:val="nil"/>
                    <w:bottom w:val="nil"/>
                    <w:right w:val="nil"/>
                  </w:tcBorders>
                  <w:shd w:val="clear" w:color="auto" w:fill="auto"/>
                  <w:noWrap/>
                  <w:vAlign w:val="bottom"/>
                  <w:hideMark/>
                </w:tcPr>
                <w:p w14:paraId="3674028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154.61</w:t>
                  </w:r>
                </w:p>
              </w:tc>
              <w:tc>
                <w:tcPr>
                  <w:tcW w:w="687" w:type="dxa"/>
                  <w:tcBorders>
                    <w:top w:val="nil"/>
                    <w:left w:val="nil"/>
                    <w:bottom w:val="nil"/>
                    <w:right w:val="nil"/>
                  </w:tcBorders>
                  <w:shd w:val="clear" w:color="auto" w:fill="auto"/>
                  <w:noWrap/>
                  <w:vAlign w:val="bottom"/>
                  <w:hideMark/>
                </w:tcPr>
                <w:p w14:paraId="1B916F0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4.58</w:t>
                  </w:r>
                </w:p>
              </w:tc>
              <w:tc>
                <w:tcPr>
                  <w:tcW w:w="807" w:type="dxa"/>
                  <w:tcBorders>
                    <w:top w:val="nil"/>
                    <w:left w:val="single" w:sz="4" w:space="0" w:color="auto"/>
                    <w:bottom w:val="nil"/>
                    <w:right w:val="nil"/>
                  </w:tcBorders>
                  <w:shd w:val="clear" w:color="auto" w:fill="auto"/>
                  <w:noWrap/>
                  <w:vAlign w:val="bottom"/>
                  <w:hideMark/>
                </w:tcPr>
                <w:p w14:paraId="355E0B2F"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153.48</w:t>
                  </w:r>
                </w:p>
              </w:tc>
              <w:tc>
                <w:tcPr>
                  <w:tcW w:w="1595" w:type="dxa"/>
                  <w:tcBorders>
                    <w:top w:val="nil"/>
                    <w:left w:val="nil"/>
                    <w:bottom w:val="nil"/>
                    <w:right w:val="nil"/>
                  </w:tcBorders>
                  <w:shd w:val="clear" w:color="auto" w:fill="auto"/>
                  <w:noWrap/>
                  <w:vAlign w:val="bottom"/>
                  <w:hideMark/>
                </w:tcPr>
                <w:p w14:paraId="73DFCC2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6BA822A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150.69</w:t>
                  </w:r>
                </w:p>
              </w:tc>
              <w:tc>
                <w:tcPr>
                  <w:tcW w:w="809" w:type="dxa"/>
                  <w:tcBorders>
                    <w:top w:val="nil"/>
                    <w:left w:val="nil"/>
                    <w:bottom w:val="nil"/>
                    <w:right w:val="single" w:sz="4" w:space="0" w:color="auto"/>
                  </w:tcBorders>
                  <w:shd w:val="clear" w:color="auto" w:fill="auto"/>
                  <w:noWrap/>
                  <w:vAlign w:val="bottom"/>
                  <w:hideMark/>
                </w:tcPr>
                <w:p w14:paraId="2C47225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4.17</w:t>
                  </w:r>
                </w:p>
              </w:tc>
              <w:tc>
                <w:tcPr>
                  <w:tcW w:w="667" w:type="dxa"/>
                  <w:tcBorders>
                    <w:top w:val="nil"/>
                    <w:left w:val="nil"/>
                    <w:bottom w:val="nil"/>
                    <w:right w:val="nil"/>
                  </w:tcBorders>
                  <w:shd w:val="clear" w:color="auto" w:fill="auto"/>
                  <w:noWrap/>
                  <w:vAlign w:val="bottom"/>
                  <w:hideMark/>
                </w:tcPr>
                <w:p w14:paraId="3FFD0ED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0.020</w:t>
                  </w:r>
                </w:p>
              </w:tc>
              <w:tc>
                <w:tcPr>
                  <w:tcW w:w="1359" w:type="dxa"/>
                  <w:tcBorders>
                    <w:top w:val="nil"/>
                    <w:left w:val="nil"/>
                    <w:bottom w:val="nil"/>
                    <w:right w:val="nil"/>
                  </w:tcBorders>
                  <w:shd w:val="clear" w:color="auto" w:fill="auto"/>
                  <w:noWrap/>
                  <w:vAlign w:val="bottom"/>
                  <w:hideMark/>
                </w:tcPr>
                <w:p w14:paraId="6A2F208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(0.008,0.039)</w:t>
                  </w:r>
                </w:p>
              </w:tc>
              <w:tc>
                <w:tcPr>
                  <w:tcW w:w="667" w:type="dxa"/>
                  <w:tcBorders>
                    <w:top w:val="nil"/>
                    <w:left w:val="nil"/>
                    <w:bottom w:val="nil"/>
                    <w:right w:val="nil"/>
                  </w:tcBorders>
                  <w:shd w:val="clear" w:color="auto" w:fill="auto"/>
                  <w:noWrap/>
                  <w:vAlign w:val="bottom"/>
                  <w:hideMark/>
                </w:tcPr>
                <w:p w14:paraId="2CFFAD6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67ABA0B4"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(0.039,0.058)</w:t>
                  </w:r>
                </w:p>
              </w:tc>
            </w:tr>
            <w:tr w:rsidR="00B9388C" w:rsidRPr="00B9388C" w14:paraId="22263C92"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60F2FFB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8</w:t>
                  </w:r>
                </w:p>
              </w:tc>
              <w:tc>
                <w:tcPr>
                  <w:tcW w:w="2060" w:type="dxa"/>
                  <w:tcBorders>
                    <w:top w:val="nil"/>
                    <w:left w:val="nil"/>
                    <w:bottom w:val="nil"/>
                    <w:right w:val="single" w:sz="4" w:space="0" w:color="auto"/>
                  </w:tcBorders>
                  <w:shd w:val="clear" w:color="auto" w:fill="auto"/>
                  <w:noWrap/>
                  <w:vAlign w:val="bottom"/>
                  <w:hideMark/>
                </w:tcPr>
                <w:p w14:paraId="6549C84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Model A6 sp. Splitting</w:t>
                  </w:r>
                </w:p>
              </w:tc>
              <w:tc>
                <w:tcPr>
                  <w:tcW w:w="807" w:type="dxa"/>
                  <w:tcBorders>
                    <w:top w:val="nil"/>
                    <w:left w:val="nil"/>
                    <w:bottom w:val="nil"/>
                    <w:right w:val="nil"/>
                  </w:tcBorders>
                  <w:shd w:val="clear" w:color="auto" w:fill="auto"/>
                  <w:noWrap/>
                  <w:vAlign w:val="bottom"/>
                  <w:hideMark/>
                </w:tcPr>
                <w:p w14:paraId="5A963F9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151.57</w:t>
                  </w:r>
                </w:p>
              </w:tc>
              <w:tc>
                <w:tcPr>
                  <w:tcW w:w="1595" w:type="dxa"/>
                  <w:tcBorders>
                    <w:top w:val="nil"/>
                    <w:left w:val="nil"/>
                    <w:bottom w:val="nil"/>
                    <w:right w:val="nil"/>
                  </w:tcBorders>
                  <w:shd w:val="clear" w:color="auto" w:fill="auto"/>
                  <w:noWrap/>
                  <w:vAlign w:val="bottom"/>
                  <w:hideMark/>
                </w:tcPr>
                <w:p w14:paraId="511242DF"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(143.81,157.75) </w:t>
                  </w:r>
                </w:p>
              </w:tc>
              <w:tc>
                <w:tcPr>
                  <w:tcW w:w="767" w:type="dxa"/>
                  <w:tcBorders>
                    <w:top w:val="nil"/>
                    <w:left w:val="nil"/>
                    <w:bottom w:val="nil"/>
                    <w:right w:val="nil"/>
                  </w:tcBorders>
                  <w:shd w:val="clear" w:color="auto" w:fill="auto"/>
                  <w:noWrap/>
                  <w:vAlign w:val="bottom"/>
                  <w:hideMark/>
                </w:tcPr>
                <w:p w14:paraId="449C35A2"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151.11</w:t>
                  </w:r>
                </w:p>
              </w:tc>
              <w:tc>
                <w:tcPr>
                  <w:tcW w:w="687" w:type="dxa"/>
                  <w:tcBorders>
                    <w:top w:val="nil"/>
                    <w:left w:val="nil"/>
                    <w:bottom w:val="nil"/>
                    <w:right w:val="nil"/>
                  </w:tcBorders>
                  <w:shd w:val="clear" w:color="auto" w:fill="auto"/>
                  <w:noWrap/>
                  <w:vAlign w:val="bottom"/>
                  <w:hideMark/>
                </w:tcPr>
                <w:p w14:paraId="37C272C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4.71</w:t>
                  </w:r>
                </w:p>
              </w:tc>
              <w:tc>
                <w:tcPr>
                  <w:tcW w:w="807" w:type="dxa"/>
                  <w:tcBorders>
                    <w:top w:val="nil"/>
                    <w:left w:val="single" w:sz="4" w:space="0" w:color="auto"/>
                    <w:bottom w:val="nil"/>
                    <w:right w:val="nil"/>
                  </w:tcBorders>
                  <w:shd w:val="clear" w:color="auto" w:fill="auto"/>
                  <w:noWrap/>
                  <w:vAlign w:val="bottom"/>
                  <w:hideMark/>
                </w:tcPr>
                <w:p w14:paraId="39B9F77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153.48</w:t>
                  </w:r>
                </w:p>
              </w:tc>
              <w:tc>
                <w:tcPr>
                  <w:tcW w:w="1595" w:type="dxa"/>
                  <w:tcBorders>
                    <w:top w:val="nil"/>
                    <w:left w:val="nil"/>
                    <w:bottom w:val="nil"/>
                    <w:right w:val="nil"/>
                  </w:tcBorders>
                  <w:shd w:val="clear" w:color="auto" w:fill="auto"/>
                  <w:noWrap/>
                  <w:vAlign w:val="bottom"/>
                  <w:hideMark/>
                </w:tcPr>
                <w:p w14:paraId="2E583CE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0A25DA4B"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150.88</w:t>
                  </w:r>
                </w:p>
              </w:tc>
              <w:tc>
                <w:tcPr>
                  <w:tcW w:w="809" w:type="dxa"/>
                  <w:tcBorders>
                    <w:top w:val="nil"/>
                    <w:left w:val="nil"/>
                    <w:bottom w:val="nil"/>
                    <w:right w:val="single" w:sz="4" w:space="0" w:color="auto"/>
                  </w:tcBorders>
                  <w:shd w:val="clear" w:color="auto" w:fill="auto"/>
                  <w:noWrap/>
                  <w:vAlign w:val="bottom"/>
                  <w:hideMark/>
                </w:tcPr>
                <w:p w14:paraId="6934175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4.06</w:t>
                  </w:r>
                </w:p>
              </w:tc>
              <w:tc>
                <w:tcPr>
                  <w:tcW w:w="667" w:type="dxa"/>
                  <w:tcBorders>
                    <w:top w:val="nil"/>
                    <w:left w:val="nil"/>
                    <w:bottom w:val="nil"/>
                    <w:right w:val="nil"/>
                  </w:tcBorders>
                  <w:shd w:val="clear" w:color="auto" w:fill="auto"/>
                  <w:noWrap/>
                  <w:vAlign w:val="bottom"/>
                  <w:hideMark/>
                </w:tcPr>
                <w:p w14:paraId="0E6FF88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0.032</w:t>
                  </w:r>
                </w:p>
              </w:tc>
              <w:tc>
                <w:tcPr>
                  <w:tcW w:w="1359" w:type="dxa"/>
                  <w:tcBorders>
                    <w:top w:val="nil"/>
                    <w:left w:val="nil"/>
                    <w:bottom w:val="nil"/>
                    <w:right w:val="nil"/>
                  </w:tcBorders>
                  <w:shd w:val="clear" w:color="auto" w:fill="auto"/>
                  <w:noWrap/>
                  <w:vAlign w:val="bottom"/>
                  <w:hideMark/>
                </w:tcPr>
                <w:p w14:paraId="789E85BE"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(0.017,0.045)</w:t>
                  </w:r>
                </w:p>
              </w:tc>
              <w:tc>
                <w:tcPr>
                  <w:tcW w:w="667" w:type="dxa"/>
                  <w:tcBorders>
                    <w:top w:val="nil"/>
                    <w:left w:val="nil"/>
                    <w:bottom w:val="nil"/>
                    <w:right w:val="nil"/>
                  </w:tcBorders>
                  <w:shd w:val="clear" w:color="auto" w:fill="auto"/>
                  <w:noWrap/>
                  <w:vAlign w:val="bottom"/>
                  <w:hideMark/>
                </w:tcPr>
                <w:p w14:paraId="747DD26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19FD36A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(0.038,0.056)</w:t>
                  </w:r>
                </w:p>
              </w:tc>
            </w:tr>
            <w:tr w:rsidR="00B9388C" w:rsidRPr="00B9388C" w14:paraId="31996CA9" w14:textId="77777777" w:rsidTr="00FF7098">
              <w:trPr>
                <w:trHeight w:val="255"/>
                <w:jc w:val="center"/>
              </w:trPr>
              <w:tc>
                <w:tcPr>
                  <w:tcW w:w="417" w:type="dxa"/>
                  <w:tcBorders>
                    <w:top w:val="nil"/>
                    <w:left w:val="single" w:sz="4" w:space="0" w:color="auto"/>
                    <w:bottom w:val="nil"/>
                    <w:right w:val="nil"/>
                  </w:tcBorders>
                  <w:shd w:val="clear" w:color="auto" w:fill="auto"/>
                  <w:noWrap/>
                  <w:vAlign w:val="bottom"/>
                  <w:hideMark/>
                </w:tcPr>
                <w:p w14:paraId="2FEE84B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9</w:t>
                  </w:r>
                </w:p>
              </w:tc>
              <w:tc>
                <w:tcPr>
                  <w:tcW w:w="2060" w:type="dxa"/>
                  <w:tcBorders>
                    <w:top w:val="nil"/>
                    <w:left w:val="nil"/>
                    <w:bottom w:val="nil"/>
                    <w:right w:val="single" w:sz="4" w:space="0" w:color="auto"/>
                  </w:tcBorders>
                  <w:shd w:val="clear" w:color="auto" w:fill="auto"/>
                  <w:noWrap/>
                  <w:vAlign w:val="bottom"/>
                  <w:hideMark/>
                </w:tcPr>
                <w:p w14:paraId="6C65DB28"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Decrease past K</w:t>
                  </w:r>
                </w:p>
              </w:tc>
              <w:tc>
                <w:tcPr>
                  <w:tcW w:w="807" w:type="dxa"/>
                  <w:tcBorders>
                    <w:top w:val="nil"/>
                    <w:left w:val="nil"/>
                    <w:bottom w:val="nil"/>
                    <w:right w:val="nil"/>
                  </w:tcBorders>
                  <w:shd w:val="clear" w:color="auto" w:fill="auto"/>
                  <w:noWrap/>
                  <w:vAlign w:val="bottom"/>
                  <w:hideMark/>
                </w:tcPr>
                <w:p w14:paraId="1A9591B5"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150.55</w:t>
                  </w:r>
                </w:p>
              </w:tc>
              <w:tc>
                <w:tcPr>
                  <w:tcW w:w="1595" w:type="dxa"/>
                  <w:tcBorders>
                    <w:top w:val="nil"/>
                    <w:left w:val="nil"/>
                    <w:bottom w:val="nil"/>
                    <w:right w:val="nil"/>
                  </w:tcBorders>
                  <w:shd w:val="clear" w:color="auto" w:fill="auto"/>
                  <w:noWrap/>
                  <w:vAlign w:val="bottom"/>
                  <w:hideMark/>
                </w:tcPr>
                <w:p w14:paraId="7703901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(142.51,157.38) </w:t>
                  </w:r>
                </w:p>
              </w:tc>
              <w:tc>
                <w:tcPr>
                  <w:tcW w:w="767" w:type="dxa"/>
                  <w:tcBorders>
                    <w:top w:val="nil"/>
                    <w:left w:val="nil"/>
                    <w:bottom w:val="nil"/>
                    <w:right w:val="nil"/>
                  </w:tcBorders>
                  <w:shd w:val="clear" w:color="auto" w:fill="auto"/>
                  <w:noWrap/>
                  <w:vAlign w:val="bottom"/>
                  <w:hideMark/>
                </w:tcPr>
                <w:p w14:paraId="5EBC8DB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150.10</w:t>
                  </w:r>
                </w:p>
              </w:tc>
              <w:tc>
                <w:tcPr>
                  <w:tcW w:w="687" w:type="dxa"/>
                  <w:tcBorders>
                    <w:top w:val="nil"/>
                    <w:left w:val="nil"/>
                    <w:bottom w:val="nil"/>
                    <w:right w:val="nil"/>
                  </w:tcBorders>
                  <w:shd w:val="clear" w:color="auto" w:fill="auto"/>
                  <w:noWrap/>
                  <w:vAlign w:val="bottom"/>
                  <w:hideMark/>
                </w:tcPr>
                <w:p w14:paraId="02947B2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5.00</w:t>
                  </w:r>
                </w:p>
              </w:tc>
              <w:tc>
                <w:tcPr>
                  <w:tcW w:w="807" w:type="dxa"/>
                  <w:tcBorders>
                    <w:top w:val="nil"/>
                    <w:left w:val="single" w:sz="4" w:space="0" w:color="auto"/>
                    <w:bottom w:val="nil"/>
                    <w:right w:val="nil"/>
                  </w:tcBorders>
                  <w:shd w:val="clear" w:color="auto" w:fill="auto"/>
                  <w:noWrap/>
                  <w:vAlign w:val="bottom"/>
                  <w:hideMark/>
                </w:tcPr>
                <w:p w14:paraId="1545FF7C"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152.92</w:t>
                  </w:r>
                </w:p>
              </w:tc>
              <w:tc>
                <w:tcPr>
                  <w:tcW w:w="1595" w:type="dxa"/>
                  <w:tcBorders>
                    <w:top w:val="nil"/>
                    <w:left w:val="nil"/>
                    <w:bottom w:val="nil"/>
                    <w:right w:val="nil"/>
                  </w:tcBorders>
                  <w:shd w:val="clear" w:color="auto" w:fill="auto"/>
                  <w:noWrap/>
                  <w:vAlign w:val="bottom"/>
                  <w:hideMark/>
                </w:tcPr>
                <w:p w14:paraId="3966E9E1"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nil"/>
                    <w:right w:val="nil"/>
                  </w:tcBorders>
                  <w:shd w:val="clear" w:color="auto" w:fill="auto"/>
                  <w:noWrap/>
                  <w:vAlign w:val="bottom"/>
                  <w:hideMark/>
                </w:tcPr>
                <w:p w14:paraId="3C271F33"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149.91</w:t>
                  </w:r>
                </w:p>
              </w:tc>
              <w:tc>
                <w:tcPr>
                  <w:tcW w:w="809" w:type="dxa"/>
                  <w:tcBorders>
                    <w:top w:val="nil"/>
                    <w:left w:val="nil"/>
                    <w:bottom w:val="nil"/>
                    <w:right w:val="single" w:sz="4" w:space="0" w:color="auto"/>
                  </w:tcBorders>
                  <w:shd w:val="clear" w:color="auto" w:fill="auto"/>
                  <w:noWrap/>
                  <w:vAlign w:val="bottom"/>
                  <w:hideMark/>
                </w:tcPr>
                <w:p w14:paraId="43E4C5CA"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4.61</w:t>
                  </w:r>
                </w:p>
              </w:tc>
              <w:tc>
                <w:tcPr>
                  <w:tcW w:w="667" w:type="dxa"/>
                  <w:tcBorders>
                    <w:top w:val="nil"/>
                    <w:left w:val="nil"/>
                    <w:bottom w:val="nil"/>
                    <w:right w:val="nil"/>
                  </w:tcBorders>
                  <w:shd w:val="clear" w:color="auto" w:fill="auto"/>
                  <w:noWrap/>
                  <w:vAlign w:val="bottom"/>
                  <w:hideMark/>
                </w:tcPr>
                <w:p w14:paraId="3A849D3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0.034</w:t>
                  </w:r>
                </w:p>
              </w:tc>
              <w:tc>
                <w:tcPr>
                  <w:tcW w:w="1359" w:type="dxa"/>
                  <w:tcBorders>
                    <w:top w:val="nil"/>
                    <w:left w:val="nil"/>
                    <w:bottom w:val="nil"/>
                    <w:right w:val="nil"/>
                  </w:tcBorders>
                  <w:shd w:val="clear" w:color="auto" w:fill="auto"/>
                  <w:noWrap/>
                  <w:vAlign w:val="bottom"/>
                  <w:hideMark/>
                </w:tcPr>
                <w:p w14:paraId="0C8F2D3B"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(0.019,0.046)</w:t>
                  </w:r>
                </w:p>
              </w:tc>
              <w:tc>
                <w:tcPr>
                  <w:tcW w:w="667" w:type="dxa"/>
                  <w:tcBorders>
                    <w:top w:val="nil"/>
                    <w:left w:val="nil"/>
                    <w:bottom w:val="nil"/>
                    <w:right w:val="nil"/>
                  </w:tcBorders>
                  <w:shd w:val="clear" w:color="auto" w:fill="auto"/>
                  <w:noWrap/>
                  <w:vAlign w:val="bottom"/>
                  <w:hideMark/>
                </w:tcPr>
                <w:p w14:paraId="6BC6EE66"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nil"/>
                    <w:right w:val="single" w:sz="4" w:space="0" w:color="auto"/>
                  </w:tcBorders>
                  <w:shd w:val="clear" w:color="auto" w:fill="auto"/>
                  <w:noWrap/>
                  <w:vAlign w:val="bottom"/>
                  <w:hideMark/>
                </w:tcPr>
                <w:p w14:paraId="49B4A136"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(0.040,0.060)</w:t>
                  </w:r>
                </w:p>
              </w:tc>
            </w:tr>
            <w:tr w:rsidR="00B9388C" w:rsidRPr="00B9388C" w14:paraId="78148EC7" w14:textId="77777777" w:rsidTr="00FF7098">
              <w:trPr>
                <w:trHeight w:val="255"/>
                <w:jc w:val="center"/>
              </w:trPr>
              <w:tc>
                <w:tcPr>
                  <w:tcW w:w="417" w:type="dxa"/>
                  <w:tcBorders>
                    <w:top w:val="nil"/>
                    <w:left w:val="single" w:sz="4" w:space="0" w:color="auto"/>
                    <w:bottom w:val="single" w:sz="4" w:space="0" w:color="auto"/>
                    <w:right w:val="nil"/>
                  </w:tcBorders>
                  <w:shd w:val="clear" w:color="auto" w:fill="auto"/>
                  <w:noWrap/>
                  <w:vAlign w:val="bottom"/>
                  <w:hideMark/>
                </w:tcPr>
                <w:p w14:paraId="65EA534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10</w:t>
                  </w:r>
                </w:p>
              </w:tc>
              <w:tc>
                <w:tcPr>
                  <w:tcW w:w="2060" w:type="dxa"/>
                  <w:tcBorders>
                    <w:top w:val="nil"/>
                    <w:left w:val="nil"/>
                    <w:bottom w:val="single" w:sz="4" w:space="0" w:color="auto"/>
                    <w:right w:val="single" w:sz="4" w:space="0" w:color="auto"/>
                  </w:tcBorders>
                  <w:shd w:val="clear" w:color="auto" w:fill="auto"/>
                  <w:noWrap/>
                  <w:vAlign w:val="bottom"/>
                  <w:hideMark/>
                </w:tcPr>
                <w:p w14:paraId="6989BA5C"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Decrease Future K</w:t>
                  </w:r>
                </w:p>
              </w:tc>
              <w:tc>
                <w:tcPr>
                  <w:tcW w:w="807" w:type="dxa"/>
                  <w:tcBorders>
                    <w:top w:val="nil"/>
                    <w:left w:val="nil"/>
                    <w:bottom w:val="single" w:sz="4" w:space="0" w:color="auto"/>
                    <w:right w:val="nil"/>
                  </w:tcBorders>
                  <w:shd w:val="clear" w:color="auto" w:fill="auto"/>
                  <w:noWrap/>
                  <w:vAlign w:val="bottom"/>
                  <w:hideMark/>
                </w:tcPr>
                <w:p w14:paraId="63BF470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139.21</w:t>
                  </w:r>
                </w:p>
              </w:tc>
              <w:tc>
                <w:tcPr>
                  <w:tcW w:w="1595" w:type="dxa"/>
                  <w:tcBorders>
                    <w:top w:val="nil"/>
                    <w:left w:val="nil"/>
                    <w:bottom w:val="single" w:sz="4" w:space="0" w:color="auto"/>
                    <w:right w:val="nil"/>
                  </w:tcBorders>
                  <w:shd w:val="clear" w:color="auto" w:fill="auto"/>
                  <w:noWrap/>
                  <w:vAlign w:val="bottom"/>
                  <w:hideMark/>
                </w:tcPr>
                <w:p w14:paraId="3C145E5D"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 xml:space="preserve">(128.56,151.24) </w:t>
                  </w:r>
                </w:p>
              </w:tc>
              <w:tc>
                <w:tcPr>
                  <w:tcW w:w="767" w:type="dxa"/>
                  <w:tcBorders>
                    <w:top w:val="nil"/>
                    <w:left w:val="nil"/>
                    <w:bottom w:val="single" w:sz="4" w:space="0" w:color="auto"/>
                    <w:right w:val="nil"/>
                  </w:tcBorders>
                  <w:shd w:val="clear" w:color="auto" w:fill="auto"/>
                  <w:noWrap/>
                  <w:vAlign w:val="bottom"/>
                  <w:hideMark/>
                </w:tcPr>
                <w:p w14:paraId="7474DD90"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139.79</w:t>
                  </w:r>
                </w:p>
              </w:tc>
              <w:tc>
                <w:tcPr>
                  <w:tcW w:w="687" w:type="dxa"/>
                  <w:tcBorders>
                    <w:top w:val="nil"/>
                    <w:left w:val="nil"/>
                    <w:bottom w:val="single" w:sz="4" w:space="0" w:color="auto"/>
                    <w:right w:val="nil"/>
                  </w:tcBorders>
                  <w:shd w:val="clear" w:color="auto" w:fill="auto"/>
                  <w:noWrap/>
                  <w:vAlign w:val="bottom"/>
                  <w:hideMark/>
                </w:tcPr>
                <w:p w14:paraId="4264DDF7"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7.43</w:t>
                  </w:r>
                </w:p>
              </w:tc>
              <w:tc>
                <w:tcPr>
                  <w:tcW w:w="807" w:type="dxa"/>
                  <w:tcBorders>
                    <w:top w:val="nil"/>
                    <w:left w:val="single" w:sz="4" w:space="0" w:color="auto"/>
                    <w:bottom w:val="single" w:sz="4" w:space="0" w:color="auto"/>
                    <w:right w:val="nil"/>
                  </w:tcBorders>
                  <w:shd w:val="clear" w:color="auto" w:fill="auto"/>
                  <w:noWrap/>
                  <w:vAlign w:val="bottom"/>
                  <w:hideMark/>
                </w:tcPr>
                <w:p w14:paraId="32A421ED"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151.61</w:t>
                  </w:r>
                </w:p>
              </w:tc>
              <w:tc>
                <w:tcPr>
                  <w:tcW w:w="1595" w:type="dxa"/>
                  <w:tcBorders>
                    <w:top w:val="nil"/>
                    <w:left w:val="nil"/>
                    <w:bottom w:val="single" w:sz="4" w:space="0" w:color="auto"/>
                    <w:right w:val="nil"/>
                  </w:tcBorders>
                  <w:shd w:val="clear" w:color="auto" w:fill="auto"/>
                  <w:noWrap/>
                  <w:vAlign w:val="bottom"/>
                  <w:hideMark/>
                </w:tcPr>
                <w:p w14:paraId="5DB648BA"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(141.47,153.48)</w:t>
                  </w:r>
                </w:p>
              </w:tc>
              <w:tc>
                <w:tcPr>
                  <w:tcW w:w="767" w:type="dxa"/>
                  <w:tcBorders>
                    <w:top w:val="nil"/>
                    <w:left w:val="nil"/>
                    <w:bottom w:val="single" w:sz="4" w:space="0" w:color="auto"/>
                    <w:right w:val="nil"/>
                  </w:tcBorders>
                  <w:shd w:val="clear" w:color="auto" w:fill="auto"/>
                  <w:noWrap/>
                  <w:vAlign w:val="bottom"/>
                  <w:hideMark/>
                </w:tcPr>
                <w:p w14:paraId="3510FA49"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149.39</w:t>
                  </w:r>
                </w:p>
              </w:tc>
              <w:tc>
                <w:tcPr>
                  <w:tcW w:w="809" w:type="dxa"/>
                  <w:tcBorders>
                    <w:top w:val="nil"/>
                    <w:left w:val="nil"/>
                    <w:bottom w:val="single" w:sz="4" w:space="0" w:color="auto"/>
                    <w:right w:val="single" w:sz="4" w:space="0" w:color="auto"/>
                  </w:tcBorders>
                  <w:shd w:val="clear" w:color="auto" w:fill="auto"/>
                  <w:noWrap/>
                  <w:vAlign w:val="bottom"/>
                  <w:hideMark/>
                </w:tcPr>
                <w:p w14:paraId="675E9FE1"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4.80</w:t>
                  </w:r>
                </w:p>
              </w:tc>
              <w:tc>
                <w:tcPr>
                  <w:tcW w:w="667" w:type="dxa"/>
                  <w:tcBorders>
                    <w:top w:val="nil"/>
                    <w:left w:val="nil"/>
                    <w:bottom w:val="single" w:sz="4" w:space="0" w:color="auto"/>
                    <w:right w:val="nil"/>
                  </w:tcBorders>
                  <w:shd w:val="clear" w:color="auto" w:fill="auto"/>
                  <w:noWrap/>
                  <w:vAlign w:val="bottom"/>
                  <w:hideMark/>
                </w:tcPr>
                <w:p w14:paraId="34286104"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0.052</w:t>
                  </w:r>
                </w:p>
              </w:tc>
              <w:tc>
                <w:tcPr>
                  <w:tcW w:w="1359" w:type="dxa"/>
                  <w:tcBorders>
                    <w:top w:val="nil"/>
                    <w:left w:val="nil"/>
                    <w:bottom w:val="single" w:sz="4" w:space="0" w:color="auto"/>
                    <w:right w:val="nil"/>
                  </w:tcBorders>
                  <w:shd w:val="clear" w:color="auto" w:fill="auto"/>
                  <w:noWrap/>
                  <w:vAlign w:val="bottom"/>
                  <w:hideMark/>
                </w:tcPr>
                <w:p w14:paraId="0C1EADF9"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(0.035,0.076)</w:t>
                  </w:r>
                </w:p>
              </w:tc>
              <w:tc>
                <w:tcPr>
                  <w:tcW w:w="667" w:type="dxa"/>
                  <w:tcBorders>
                    <w:top w:val="nil"/>
                    <w:left w:val="nil"/>
                    <w:bottom w:val="single" w:sz="4" w:space="0" w:color="auto"/>
                    <w:right w:val="nil"/>
                  </w:tcBorders>
                  <w:shd w:val="clear" w:color="auto" w:fill="auto"/>
                  <w:noWrap/>
                  <w:vAlign w:val="bottom"/>
                  <w:hideMark/>
                </w:tcPr>
                <w:p w14:paraId="1004E2EE" w14:textId="77777777" w:rsidR="00B9388C" w:rsidRPr="00B9388C" w:rsidRDefault="00B9388C" w:rsidP="00B9388C">
                  <w:pPr>
                    <w:spacing w:after="0" w:line="240" w:lineRule="auto"/>
                    <w:jc w:val="right"/>
                    <w:rPr>
                      <w:rFonts w:ascii="Arial" w:eastAsia="Times New Roman" w:hAnsi="Arial" w:cs="Arial"/>
                      <w:sz w:val="18"/>
                      <w:szCs w:val="18"/>
                      <w:lang w:eastAsia="en-ZA"/>
                    </w:rPr>
                  </w:pPr>
                  <w:r w:rsidRPr="00B9388C">
                    <w:rPr>
                      <w:rFonts w:ascii="Arial" w:eastAsia="Times New Roman" w:hAnsi="Arial" w:cs="Arial"/>
                      <w:sz w:val="18"/>
                      <w:szCs w:val="18"/>
                      <w:lang w:eastAsia="en-ZA"/>
                    </w:rPr>
                    <w:t>0.048</w:t>
                  </w:r>
                </w:p>
              </w:tc>
              <w:tc>
                <w:tcPr>
                  <w:tcW w:w="1359" w:type="dxa"/>
                  <w:tcBorders>
                    <w:top w:val="nil"/>
                    <w:left w:val="nil"/>
                    <w:bottom w:val="single" w:sz="4" w:space="0" w:color="auto"/>
                    <w:right w:val="single" w:sz="4" w:space="0" w:color="auto"/>
                  </w:tcBorders>
                  <w:shd w:val="clear" w:color="auto" w:fill="auto"/>
                  <w:noWrap/>
                  <w:vAlign w:val="bottom"/>
                  <w:hideMark/>
                </w:tcPr>
                <w:p w14:paraId="26828427" w14:textId="77777777" w:rsidR="00B9388C" w:rsidRPr="00B9388C" w:rsidRDefault="00B9388C" w:rsidP="00B9388C">
                  <w:pPr>
                    <w:spacing w:after="0" w:line="240" w:lineRule="auto"/>
                    <w:rPr>
                      <w:rFonts w:ascii="Arial" w:eastAsia="Times New Roman" w:hAnsi="Arial" w:cs="Arial"/>
                      <w:sz w:val="18"/>
                      <w:szCs w:val="18"/>
                      <w:lang w:eastAsia="en-ZA"/>
                    </w:rPr>
                  </w:pPr>
                  <w:r w:rsidRPr="00B9388C">
                    <w:rPr>
                      <w:rFonts w:ascii="Arial" w:eastAsia="Times New Roman" w:hAnsi="Arial" w:cs="Arial"/>
                      <w:sz w:val="18"/>
                      <w:szCs w:val="18"/>
                      <w:lang w:eastAsia="en-ZA"/>
                    </w:rPr>
                    <w:t>(0.039,0.060)</w:t>
                  </w:r>
                </w:p>
              </w:tc>
            </w:tr>
          </w:tbl>
          <w:p w14:paraId="16531E26" w14:textId="77777777" w:rsidR="00495BFA" w:rsidRDefault="00495BFA" w:rsidP="00FE178C"/>
        </w:tc>
      </w:tr>
    </w:tbl>
    <w:p w14:paraId="55B1D184" w14:textId="77777777" w:rsidR="00495BFA" w:rsidRDefault="00495BFA" w:rsidP="009D224E"/>
    <w:p w14:paraId="6AC1046B" w14:textId="6DAA9F62" w:rsidR="006242CD" w:rsidRDefault="0044033B" w:rsidP="009D224E">
      <w:pPr>
        <w:sectPr w:rsidR="006242CD" w:rsidSect="00E0186A">
          <w:pgSz w:w="16838" w:h="11906" w:orient="landscape"/>
          <w:pgMar w:top="1021" w:right="1021" w:bottom="1021" w:left="1021" w:header="720" w:footer="709" w:gutter="0"/>
          <w:cols w:space="708"/>
          <w:docGrid w:linePitch="360"/>
        </w:sectPr>
      </w:pPr>
      <w:r>
        <w:br w:type="page"/>
      </w:r>
    </w:p>
    <w:p w14:paraId="4A9C5725" w14:textId="77777777" w:rsidR="00E54A4B" w:rsidRDefault="00E54A4B"/>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166185" w14:paraId="4F33B4BF" w14:textId="77777777" w:rsidTr="00B05FB8">
        <w:tc>
          <w:tcPr>
            <w:tcW w:w="5000" w:type="pct"/>
          </w:tcPr>
          <w:p w14:paraId="4720C509" w14:textId="1ADB101B" w:rsidR="00166185" w:rsidRDefault="001A287E" w:rsidP="00B05FB8">
            <w:pPr>
              <w:jc w:val="center"/>
            </w:pPr>
            <w:r>
              <w:rPr>
                <w:noProof/>
                <w:lang w:val="en-US"/>
              </w:rPr>
              <w:drawing>
                <wp:inline distT="0" distB="0" distL="0" distR="0" wp14:anchorId="610592E1" wp14:editId="153B64B1">
                  <wp:extent cx="5815599" cy="7477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_performance_statistics_final_CMP_robustness1.jpg"/>
                          <pic:cNvPicPr/>
                        </pic:nvPicPr>
                        <pic:blipFill>
                          <a:blip r:embed="rId11">
                            <a:extLst>
                              <a:ext uri="{28A0092B-C50C-407E-A947-70E740481C1C}">
                                <a14:useLocalDpi xmlns:a14="http://schemas.microsoft.com/office/drawing/2010/main" val="0"/>
                              </a:ext>
                            </a:extLst>
                          </a:blip>
                          <a:stretch>
                            <a:fillRect/>
                          </a:stretch>
                        </pic:blipFill>
                        <pic:spPr>
                          <a:xfrm>
                            <a:off x="0" y="0"/>
                            <a:ext cx="5815599" cy="7477200"/>
                          </a:xfrm>
                          <a:prstGeom prst="rect">
                            <a:avLst/>
                          </a:prstGeom>
                        </pic:spPr>
                      </pic:pic>
                    </a:graphicData>
                  </a:graphic>
                </wp:inline>
              </w:drawing>
            </w:r>
          </w:p>
        </w:tc>
      </w:tr>
      <w:tr w:rsidR="00166185" w:rsidRPr="00DC5A50" w14:paraId="4BC36746" w14:textId="77777777" w:rsidTr="00B05FB8">
        <w:tc>
          <w:tcPr>
            <w:tcW w:w="5000" w:type="pct"/>
          </w:tcPr>
          <w:p w14:paraId="0DA9F25C" w14:textId="7B327089" w:rsidR="00166185" w:rsidRPr="00DC5A50" w:rsidRDefault="00166185" w:rsidP="00F8706D">
            <w:pPr>
              <w:ind w:left="888" w:hanging="888"/>
              <w:jc w:val="both"/>
              <w:rPr>
                <w:szCs w:val="20"/>
              </w:rPr>
            </w:pPr>
            <w:bookmarkStart w:id="3" w:name="_Ref525741246"/>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FF7098">
              <w:rPr>
                <w:b/>
                <w:noProof/>
                <w:szCs w:val="20"/>
              </w:rPr>
              <w:t>1</w:t>
            </w:r>
            <w:r w:rsidRPr="00DC5A50">
              <w:rPr>
                <w:b/>
                <w:i/>
                <w:szCs w:val="20"/>
              </w:rPr>
              <w:fldChar w:fldCharType="end"/>
            </w:r>
            <w:bookmarkEnd w:id="3"/>
            <w:r w:rsidR="00F62672">
              <w:rPr>
                <w:b/>
                <w:szCs w:val="20"/>
              </w:rPr>
              <w:t>a</w:t>
            </w:r>
            <w:r w:rsidRPr="00DC5A50">
              <w:rPr>
                <w:b/>
                <w:szCs w:val="20"/>
              </w:rPr>
              <w:t xml:space="preserve">: </w:t>
            </w:r>
            <w:proofErr w:type="spellStart"/>
            <w:r w:rsidR="00281D02" w:rsidRPr="00DF430C">
              <w:rPr>
                <w:sz w:val="18"/>
                <w:szCs w:val="18"/>
              </w:rPr>
              <w:t>Zeh</w:t>
            </w:r>
            <w:proofErr w:type="spellEnd"/>
            <w:r w:rsidR="00281D02" w:rsidRPr="00DF430C">
              <w:rPr>
                <w:sz w:val="18"/>
                <w:szCs w:val="18"/>
              </w:rPr>
              <w:t xml:space="preserve"> plots of the performance statistics from </w:t>
            </w:r>
            <w:r w:rsidR="00281D02" w:rsidRPr="00DF430C">
              <w:rPr>
                <w:sz w:val="18"/>
                <w:szCs w:val="18"/>
              </w:rPr>
              <w:fldChar w:fldCharType="begin"/>
            </w:r>
            <w:r w:rsidR="00281D02" w:rsidRPr="00DF430C">
              <w:rPr>
                <w:sz w:val="18"/>
                <w:szCs w:val="18"/>
              </w:rPr>
              <w:instrText xml:space="preserve"> REF _Ref526364745 \h  \* MERGEFORMAT </w:instrText>
            </w:r>
            <w:r w:rsidR="00281D02" w:rsidRPr="00DF430C">
              <w:rPr>
                <w:sz w:val="18"/>
                <w:szCs w:val="18"/>
              </w:rPr>
            </w:r>
            <w:r w:rsidR="00281D02" w:rsidRPr="00DF430C">
              <w:rPr>
                <w:sz w:val="18"/>
                <w:szCs w:val="18"/>
              </w:rPr>
              <w:fldChar w:fldCharType="separate"/>
            </w:r>
            <w:r w:rsidR="00FF7098" w:rsidRPr="00FF7098">
              <w:rPr>
                <w:sz w:val="18"/>
                <w:szCs w:val="18"/>
              </w:rPr>
              <w:t xml:space="preserve">Table </w:t>
            </w:r>
            <w:r w:rsidR="00FF7098" w:rsidRPr="00FF7098">
              <w:rPr>
                <w:noProof/>
                <w:sz w:val="18"/>
                <w:szCs w:val="18"/>
              </w:rPr>
              <w:t>1</w:t>
            </w:r>
            <w:r w:rsidR="00281D02" w:rsidRPr="00DF430C">
              <w:rPr>
                <w:sz w:val="18"/>
                <w:szCs w:val="18"/>
              </w:rPr>
              <w:fldChar w:fldCharType="end"/>
            </w:r>
            <w:r w:rsidR="00F8706D" w:rsidRPr="00DF430C">
              <w:rPr>
                <w:b/>
                <w:sz w:val="18"/>
                <w:szCs w:val="18"/>
              </w:rPr>
              <w:t>, for the RC and first five robustness tests</w:t>
            </w:r>
            <w:r w:rsidR="00281D02" w:rsidRPr="00DF430C">
              <w:rPr>
                <w:sz w:val="18"/>
                <w:szCs w:val="18"/>
              </w:rPr>
              <w:t xml:space="preserve">. </w:t>
            </w:r>
            <w:r w:rsidR="00F8706D" w:rsidRPr="00DF430C">
              <w:rPr>
                <w:sz w:val="18"/>
                <w:szCs w:val="18"/>
              </w:rPr>
              <w:t xml:space="preserve">These results are thus for the RS02 RC only and not an equal weighting across the RS. </w:t>
            </w:r>
            <w:r w:rsidR="00281D02" w:rsidRPr="00DF430C">
              <w:rPr>
                <w:sz w:val="18"/>
                <w:szCs w:val="18"/>
              </w:rPr>
              <w:t xml:space="preserve">The statistics are </w:t>
            </w:r>
            <w:proofErr w:type="spellStart"/>
            <w:r w:rsidR="00281D02" w:rsidRPr="00DF430C">
              <w:rPr>
                <w:sz w:val="18"/>
                <w:szCs w:val="18"/>
              </w:rPr>
              <w:t>B</w:t>
            </w:r>
            <w:r w:rsidR="00281D02" w:rsidRPr="00DF430C">
              <w:rPr>
                <w:sz w:val="18"/>
                <w:szCs w:val="18"/>
                <w:vertAlign w:val="superscript"/>
              </w:rPr>
              <w:t>sp</w:t>
            </w:r>
            <w:proofErr w:type="spellEnd"/>
            <w:r w:rsidR="00281D02" w:rsidRPr="00DF430C">
              <w:rPr>
                <w:sz w:val="18"/>
                <w:szCs w:val="18"/>
              </w:rPr>
              <w:t>/B</w:t>
            </w:r>
            <w:r w:rsidR="00281D02" w:rsidRPr="00DF430C">
              <w:rPr>
                <w:sz w:val="18"/>
                <w:szCs w:val="18"/>
                <w:vertAlign w:val="subscript"/>
              </w:rPr>
              <w:t>MSY</w:t>
            </w:r>
            <w:r w:rsidR="00281D02" w:rsidRPr="00DF430C">
              <w:rPr>
                <w:sz w:val="18"/>
                <w:szCs w:val="18"/>
              </w:rPr>
              <w:t xml:space="preserve"> for</w:t>
            </w:r>
            <w:r w:rsidR="00281D02" w:rsidRPr="00DF430C">
              <w:rPr>
                <w:sz w:val="18"/>
                <w:szCs w:val="18"/>
                <w:vertAlign w:val="subscript"/>
              </w:rPr>
              <w:t xml:space="preserve"> </w:t>
            </w:r>
            <w:r w:rsidR="00281D02" w:rsidRPr="00DF430C">
              <w:rPr>
                <w:sz w:val="18"/>
                <w:szCs w:val="18"/>
              </w:rPr>
              <w:t xml:space="preserve">2042 and 2022, </w:t>
            </w:r>
            <w:proofErr w:type="spellStart"/>
            <w:r w:rsidR="00281D02" w:rsidRPr="00DF430C">
              <w:rPr>
                <w:sz w:val="18"/>
                <w:szCs w:val="18"/>
              </w:rPr>
              <w:t>B</w:t>
            </w:r>
            <w:r w:rsidR="00281D02" w:rsidRPr="00DF430C">
              <w:rPr>
                <w:sz w:val="18"/>
                <w:szCs w:val="18"/>
                <w:vertAlign w:val="superscript"/>
              </w:rPr>
              <w:t>sp</w:t>
            </w:r>
            <w:proofErr w:type="spellEnd"/>
            <w:r w:rsidR="00281D02" w:rsidRPr="00DF430C">
              <w:rPr>
                <w:sz w:val="18"/>
                <w:szCs w:val="18"/>
              </w:rPr>
              <w:t>(low)/B</w:t>
            </w:r>
            <w:r w:rsidR="00281D02" w:rsidRPr="00DF430C">
              <w:rPr>
                <w:sz w:val="18"/>
                <w:szCs w:val="18"/>
                <w:vertAlign w:val="subscript"/>
              </w:rPr>
              <w:t>MSY</w:t>
            </w:r>
            <w:r w:rsidR="00281D02" w:rsidRPr="00DF430C">
              <w:rPr>
                <w:sz w:val="18"/>
                <w:szCs w:val="18"/>
              </w:rPr>
              <w:t xml:space="preserve"> (the lowest value of this statistic in the projection period to 2042), </w:t>
            </w:r>
            <w:proofErr w:type="spellStart"/>
            <w:r w:rsidR="00281D02" w:rsidRPr="00DF430C">
              <w:rPr>
                <w:sz w:val="18"/>
                <w:szCs w:val="18"/>
              </w:rPr>
              <w:t>TAC</w:t>
            </w:r>
            <w:r w:rsidR="00281D02" w:rsidRPr="00DF430C">
              <w:rPr>
                <w:sz w:val="18"/>
                <w:szCs w:val="18"/>
                <w:vertAlign w:val="subscript"/>
              </w:rPr>
              <w:t>av</w:t>
            </w:r>
            <w:proofErr w:type="spellEnd"/>
            <w:r w:rsidR="00281D02" w:rsidRPr="00DF430C">
              <w:rPr>
                <w:sz w:val="18"/>
                <w:szCs w:val="18"/>
              </w:rPr>
              <w:t xml:space="preserve"> (the average catch over the projection period (25 years) and over the next four years) and AAV (the average inter-annual proportional change in catch over the projection period (25 years) and over the next four years). Medians and 90% probability intervals are shown. For </w:t>
            </w:r>
            <w:proofErr w:type="spellStart"/>
            <w:r w:rsidR="00281D02" w:rsidRPr="00DF430C">
              <w:rPr>
                <w:sz w:val="18"/>
                <w:szCs w:val="18"/>
              </w:rPr>
              <w:t>TAC</w:t>
            </w:r>
            <w:r w:rsidR="00281D02" w:rsidRPr="00DF430C">
              <w:rPr>
                <w:sz w:val="18"/>
                <w:szCs w:val="18"/>
                <w:vertAlign w:val="subscript"/>
              </w:rPr>
              <w:t>av</w:t>
            </w:r>
            <w:proofErr w:type="spellEnd"/>
            <w:r w:rsidR="00281D02" w:rsidRPr="00DF430C">
              <w:rPr>
                <w:sz w:val="18"/>
                <w:szCs w:val="18"/>
                <w:vertAlign w:val="subscript"/>
              </w:rPr>
              <w:softHyphen/>
            </w:r>
            <w:r w:rsidR="00281D02" w:rsidRPr="00DF430C">
              <w:rPr>
                <w:sz w:val="18"/>
                <w:szCs w:val="18"/>
              </w:rPr>
              <w:t>, the means are also shown by crosses.</w:t>
            </w:r>
            <w:r w:rsidR="00992DD3" w:rsidRPr="00DF430C">
              <w:rPr>
                <w:sz w:val="18"/>
                <w:szCs w:val="18"/>
              </w:rPr>
              <w:t xml:space="preserve"> For each plot the 90% probability envelope for the RC is indicated by the grey shaded area for comparison purposes.</w:t>
            </w:r>
            <w:r w:rsidR="00336866" w:rsidRPr="00DF430C">
              <w:rPr>
                <w:sz w:val="18"/>
                <w:szCs w:val="18"/>
              </w:rPr>
              <w:t xml:space="preserve"> Robustness tests that have been </w:t>
            </w:r>
            <w:proofErr w:type="spellStart"/>
            <w:r w:rsidR="00336866" w:rsidRPr="00DF430C">
              <w:rPr>
                <w:sz w:val="18"/>
                <w:szCs w:val="18"/>
              </w:rPr>
              <w:t>retuned</w:t>
            </w:r>
            <w:proofErr w:type="spellEnd"/>
            <w:r w:rsidR="00336866" w:rsidRPr="00DF430C">
              <w:rPr>
                <w:sz w:val="18"/>
                <w:szCs w:val="18"/>
              </w:rPr>
              <w:t xml:space="preserve"> to match the RC risk level </w:t>
            </w:r>
            <w:r w:rsidR="00334630" w:rsidRPr="00DF430C">
              <w:rPr>
                <w:sz w:val="18"/>
                <w:szCs w:val="18"/>
              </w:rPr>
              <w:t xml:space="preserve">for </w:t>
            </w:r>
            <w:r w:rsidR="00334630" w:rsidRPr="00DF430C">
              <w:rPr>
                <w:i/>
                <w:sz w:val="18"/>
                <w:szCs w:val="18"/>
              </w:rPr>
              <w:t>M. paradoxus</w:t>
            </w:r>
            <w:r w:rsidR="00334630" w:rsidRPr="00DF430C">
              <w:rPr>
                <w:sz w:val="18"/>
                <w:szCs w:val="18"/>
              </w:rPr>
              <w:t xml:space="preserve"> </w:t>
            </w:r>
            <w:r w:rsidR="00336866" w:rsidRPr="00DF430C">
              <w:rPr>
                <w:sz w:val="18"/>
                <w:szCs w:val="18"/>
              </w:rPr>
              <w:t>are marked by an asterisk.</w:t>
            </w:r>
          </w:p>
        </w:tc>
      </w:tr>
    </w:tbl>
    <w:p w14:paraId="79A83C32" w14:textId="77777777" w:rsidR="001A287E" w:rsidRDefault="001A287E">
      <w:r>
        <w:br w:type="page"/>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1A287E" w14:paraId="79282F61" w14:textId="77777777" w:rsidTr="00FE178C">
        <w:tc>
          <w:tcPr>
            <w:tcW w:w="5000" w:type="pct"/>
          </w:tcPr>
          <w:p w14:paraId="461A4725" w14:textId="77777777" w:rsidR="001A287E" w:rsidRDefault="001A287E" w:rsidP="00FE178C">
            <w:pPr>
              <w:jc w:val="center"/>
            </w:pPr>
            <w:r>
              <w:rPr>
                <w:noProof/>
                <w:lang w:val="en-US"/>
              </w:rPr>
              <w:lastRenderedPageBreak/>
              <w:drawing>
                <wp:inline distT="0" distB="0" distL="0" distR="0" wp14:anchorId="1D786A51" wp14:editId="1B0B9A5C">
                  <wp:extent cx="6263498" cy="8053070"/>
                  <wp:effectExtent l="0" t="0" r="444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_performance_statistics_final_CMP_robustness1.jpg"/>
                          <pic:cNvPicPr/>
                        </pic:nvPicPr>
                        <pic:blipFill>
                          <a:blip r:embed="rId12">
                            <a:extLst>
                              <a:ext uri="{28A0092B-C50C-407E-A947-70E740481C1C}">
                                <a14:useLocalDpi xmlns:a14="http://schemas.microsoft.com/office/drawing/2010/main" val="0"/>
                              </a:ext>
                            </a:extLst>
                          </a:blip>
                          <a:stretch>
                            <a:fillRect/>
                          </a:stretch>
                        </pic:blipFill>
                        <pic:spPr>
                          <a:xfrm>
                            <a:off x="0" y="0"/>
                            <a:ext cx="6263498" cy="8053070"/>
                          </a:xfrm>
                          <a:prstGeom prst="rect">
                            <a:avLst/>
                          </a:prstGeom>
                        </pic:spPr>
                      </pic:pic>
                    </a:graphicData>
                  </a:graphic>
                </wp:inline>
              </w:drawing>
            </w:r>
          </w:p>
        </w:tc>
      </w:tr>
      <w:tr w:rsidR="001A287E" w:rsidRPr="00DC5A50" w14:paraId="6472A6DD" w14:textId="77777777" w:rsidTr="00FE178C">
        <w:tc>
          <w:tcPr>
            <w:tcW w:w="5000" w:type="pct"/>
          </w:tcPr>
          <w:p w14:paraId="15AE8D62" w14:textId="6CE2150E" w:rsidR="001A287E" w:rsidRPr="00DC5A50" w:rsidRDefault="001A287E" w:rsidP="00FE178C">
            <w:pPr>
              <w:ind w:left="747" w:hanging="747"/>
              <w:rPr>
                <w:szCs w:val="20"/>
              </w:rPr>
            </w:pPr>
            <w:r>
              <w:rPr>
                <w:b/>
                <w:szCs w:val="20"/>
              </w:rPr>
              <w:fldChar w:fldCharType="begin"/>
            </w:r>
            <w:r>
              <w:rPr>
                <w:b/>
                <w:szCs w:val="20"/>
              </w:rPr>
              <w:instrText xml:space="preserve"> REF _Ref525741246 \h </w:instrText>
            </w:r>
            <w:r>
              <w:rPr>
                <w:b/>
                <w:szCs w:val="20"/>
              </w:rPr>
            </w:r>
            <w:r>
              <w:rPr>
                <w:b/>
                <w:szCs w:val="20"/>
              </w:rPr>
              <w:fldChar w:fldCharType="separate"/>
            </w:r>
            <w:r w:rsidR="00FF7098" w:rsidRPr="00DC5A50">
              <w:rPr>
                <w:b/>
                <w:szCs w:val="20"/>
              </w:rPr>
              <w:t xml:space="preserve">Figure </w:t>
            </w:r>
            <w:r w:rsidR="00FF7098">
              <w:rPr>
                <w:b/>
                <w:noProof/>
                <w:szCs w:val="20"/>
              </w:rPr>
              <w:t>1</w:t>
            </w:r>
            <w:r>
              <w:rPr>
                <w:b/>
                <w:szCs w:val="20"/>
              </w:rPr>
              <w:fldChar w:fldCharType="end"/>
            </w:r>
            <w:r>
              <w:rPr>
                <w:b/>
                <w:szCs w:val="20"/>
              </w:rPr>
              <w:t>b</w:t>
            </w:r>
            <w:r w:rsidRPr="00DC5A50">
              <w:rPr>
                <w:b/>
                <w:szCs w:val="20"/>
              </w:rPr>
              <w:t xml:space="preserve">: </w:t>
            </w:r>
            <w:proofErr w:type="spellStart"/>
            <w:r w:rsidR="00F8706D" w:rsidRPr="00DC5A50">
              <w:rPr>
                <w:szCs w:val="20"/>
              </w:rPr>
              <w:t>Zeh</w:t>
            </w:r>
            <w:proofErr w:type="spellEnd"/>
            <w:r w:rsidR="00F8706D" w:rsidRPr="00DC5A50">
              <w:rPr>
                <w:szCs w:val="20"/>
              </w:rPr>
              <w:t xml:space="preserve"> plots of the performance statistics </w:t>
            </w:r>
            <w:r w:rsidR="00F8706D">
              <w:rPr>
                <w:szCs w:val="20"/>
              </w:rPr>
              <w:t xml:space="preserve">from </w:t>
            </w:r>
            <w:r w:rsidR="00F8706D" w:rsidRPr="000F4521">
              <w:rPr>
                <w:szCs w:val="20"/>
              </w:rPr>
              <w:fldChar w:fldCharType="begin"/>
            </w:r>
            <w:r w:rsidR="00F8706D" w:rsidRPr="000F4521">
              <w:rPr>
                <w:szCs w:val="20"/>
              </w:rPr>
              <w:instrText xml:space="preserve"> REF _Ref526364745 \h  \* MERGEFORMAT </w:instrText>
            </w:r>
            <w:r w:rsidR="00F8706D" w:rsidRPr="000F4521">
              <w:rPr>
                <w:szCs w:val="20"/>
              </w:rPr>
            </w:r>
            <w:r w:rsidR="00F8706D" w:rsidRPr="000F4521">
              <w:rPr>
                <w:szCs w:val="20"/>
              </w:rPr>
              <w:fldChar w:fldCharType="separate"/>
            </w:r>
            <w:r w:rsidR="00FF7098" w:rsidRPr="00FF7098">
              <w:rPr>
                <w:szCs w:val="20"/>
              </w:rPr>
              <w:t xml:space="preserve">Table </w:t>
            </w:r>
            <w:r w:rsidR="00FF7098" w:rsidRPr="00FF7098">
              <w:rPr>
                <w:noProof/>
                <w:szCs w:val="20"/>
              </w:rPr>
              <w:t>1</w:t>
            </w:r>
            <w:r w:rsidR="00F8706D" w:rsidRPr="000F4521">
              <w:rPr>
                <w:szCs w:val="20"/>
              </w:rPr>
              <w:fldChar w:fldCharType="end"/>
            </w:r>
            <w:r w:rsidR="00F8706D" w:rsidRPr="00F8706D">
              <w:rPr>
                <w:b/>
                <w:szCs w:val="20"/>
              </w:rPr>
              <w:t xml:space="preserve">, for the RC and </w:t>
            </w:r>
            <w:r w:rsidR="00F8706D">
              <w:rPr>
                <w:b/>
                <w:szCs w:val="20"/>
              </w:rPr>
              <w:t>second set of</w:t>
            </w:r>
            <w:r w:rsidR="00F8706D" w:rsidRPr="00F8706D">
              <w:rPr>
                <w:b/>
                <w:szCs w:val="20"/>
              </w:rPr>
              <w:t xml:space="preserve"> five robustness tests</w:t>
            </w:r>
            <w:r w:rsidR="00F8706D" w:rsidRPr="00DC5A50">
              <w:rPr>
                <w:szCs w:val="20"/>
              </w:rPr>
              <w:t>.</w:t>
            </w:r>
          </w:p>
        </w:tc>
      </w:tr>
    </w:tbl>
    <w:p w14:paraId="13AA45F6" w14:textId="77777777" w:rsidR="00166185" w:rsidRDefault="00166185"/>
    <w:p w14:paraId="30658DAA" w14:textId="0D1A43BA" w:rsidR="00166185" w:rsidRDefault="00166185" w:rsidP="009D224E"/>
    <w:p w14:paraId="7C5AA54B" w14:textId="595436E2" w:rsidR="00166185" w:rsidRDefault="00166185" w:rsidP="004F17A7"/>
    <w:p w14:paraId="0C8ECC92" w14:textId="77777777" w:rsidR="00E057C0" w:rsidRDefault="00E057C0" w:rsidP="004F17A7">
      <w:pPr>
        <w:sectPr w:rsidR="00E057C0" w:rsidSect="00015365">
          <w:pgSz w:w="11906" w:h="16838"/>
          <w:pgMar w:top="1021" w:right="1021" w:bottom="1021" w:left="1021" w:header="709" w:footer="709" w:gutter="0"/>
          <w:cols w:space="708"/>
          <w:docGrid w:linePitch="360"/>
        </w:sectPr>
      </w:pPr>
    </w:p>
    <w:tbl>
      <w:tblPr>
        <w:tblStyle w:val="TableGrid"/>
        <w:tblW w:w="5000" w:type="pct"/>
        <w:tblLook w:val="04A0" w:firstRow="1" w:lastRow="0" w:firstColumn="1" w:lastColumn="0" w:noHBand="0" w:noVBand="1"/>
      </w:tblPr>
      <w:tblGrid>
        <w:gridCol w:w="14796"/>
      </w:tblGrid>
      <w:tr w:rsidR="00E057C0" w14:paraId="32E2BF97" w14:textId="77777777" w:rsidTr="002062F6">
        <w:tc>
          <w:tcPr>
            <w:tcW w:w="5000" w:type="pct"/>
            <w:tcBorders>
              <w:top w:val="nil"/>
              <w:left w:val="nil"/>
              <w:bottom w:val="nil"/>
              <w:right w:val="nil"/>
            </w:tcBorders>
          </w:tcPr>
          <w:p w14:paraId="480CECBC" w14:textId="7E8E3B9C" w:rsidR="00E057C0" w:rsidRDefault="00D16D72" w:rsidP="002062F6">
            <w:pPr>
              <w:spacing w:after="120"/>
              <w:jc w:val="center"/>
            </w:pPr>
            <w:r>
              <w:rPr>
                <w:noProof/>
                <w:lang w:val="en-US"/>
              </w:rPr>
              <w:lastRenderedPageBreak/>
              <w:drawing>
                <wp:inline distT="0" distB="0" distL="0" distR="0" wp14:anchorId="3191DB6A" wp14:editId="19B7A28D">
                  <wp:extent cx="8312400" cy="5403060"/>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_compare_projections_outputs_final_CMP_robustness1 (2).jpg"/>
                          <pic:cNvPicPr/>
                        </pic:nvPicPr>
                        <pic:blipFill>
                          <a:blip r:embed="rId13">
                            <a:extLst>
                              <a:ext uri="{28A0092B-C50C-407E-A947-70E740481C1C}">
                                <a14:useLocalDpi xmlns:a14="http://schemas.microsoft.com/office/drawing/2010/main" val="0"/>
                              </a:ext>
                            </a:extLst>
                          </a:blip>
                          <a:stretch>
                            <a:fillRect/>
                          </a:stretch>
                        </pic:blipFill>
                        <pic:spPr>
                          <a:xfrm>
                            <a:off x="0" y="0"/>
                            <a:ext cx="8312400" cy="5403060"/>
                          </a:xfrm>
                          <a:prstGeom prst="rect">
                            <a:avLst/>
                          </a:prstGeom>
                        </pic:spPr>
                      </pic:pic>
                    </a:graphicData>
                  </a:graphic>
                </wp:inline>
              </w:drawing>
            </w:r>
          </w:p>
        </w:tc>
      </w:tr>
      <w:tr w:rsidR="00E057C0" w:rsidRPr="001D13CD" w14:paraId="14F5C113" w14:textId="77777777" w:rsidTr="00D16D72">
        <w:trPr>
          <w:trHeight w:val="95"/>
        </w:trPr>
        <w:tc>
          <w:tcPr>
            <w:tcW w:w="5000" w:type="pct"/>
            <w:tcBorders>
              <w:top w:val="nil"/>
              <w:left w:val="nil"/>
              <w:bottom w:val="nil"/>
              <w:right w:val="nil"/>
            </w:tcBorders>
          </w:tcPr>
          <w:p w14:paraId="3FDCCEC9" w14:textId="7D6C6E1F" w:rsidR="00E057C0" w:rsidRPr="004D1370" w:rsidRDefault="00E057C0" w:rsidP="007D3D6F">
            <w:pPr>
              <w:ind w:left="888" w:hanging="888"/>
              <w:jc w:val="both"/>
              <w:rPr>
                <w:szCs w:val="20"/>
              </w:rPr>
            </w:pPr>
            <w:bookmarkStart w:id="4" w:name="_Ref527206235"/>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FF7098">
              <w:rPr>
                <w:b/>
                <w:noProof/>
                <w:szCs w:val="20"/>
              </w:rPr>
              <w:t>2</w:t>
            </w:r>
            <w:r w:rsidRPr="00DC5A50">
              <w:rPr>
                <w:b/>
                <w:i/>
                <w:szCs w:val="20"/>
              </w:rPr>
              <w:fldChar w:fldCharType="end"/>
            </w:r>
            <w:bookmarkEnd w:id="4"/>
            <w:r w:rsidR="007D3D6F" w:rsidRPr="007D3D6F">
              <w:rPr>
                <w:b/>
                <w:szCs w:val="20"/>
              </w:rPr>
              <w:t>a</w:t>
            </w:r>
            <w:r w:rsidRPr="00DC5A50">
              <w:rPr>
                <w:b/>
                <w:szCs w:val="20"/>
              </w:rPr>
              <w:t xml:space="preserve">: </w:t>
            </w:r>
            <w:r w:rsidR="00473493">
              <w:rPr>
                <w:szCs w:val="20"/>
              </w:rPr>
              <w:t xml:space="preserve">Projected trajectories for </w:t>
            </w:r>
            <w:proofErr w:type="spellStart"/>
            <w:r w:rsidR="00473493" w:rsidRPr="00473493">
              <w:rPr>
                <w:i/>
                <w:szCs w:val="20"/>
              </w:rPr>
              <w:t>B</w:t>
            </w:r>
            <w:r w:rsidR="00473493">
              <w:rPr>
                <w:szCs w:val="20"/>
                <w:vertAlign w:val="superscript"/>
              </w:rPr>
              <w:t>sp</w:t>
            </w:r>
            <w:proofErr w:type="spellEnd"/>
            <w:r w:rsidR="00473493">
              <w:rPr>
                <w:szCs w:val="20"/>
              </w:rPr>
              <w:t>/</w:t>
            </w:r>
            <w:r w:rsidR="00473493">
              <w:rPr>
                <w:i/>
                <w:szCs w:val="20"/>
              </w:rPr>
              <w:t>B</w:t>
            </w:r>
            <w:r w:rsidR="00473493">
              <w:rPr>
                <w:i/>
                <w:szCs w:val="20"/>
                <w:vertAlign w:val="subscript"/>
              </w:rPr>
              <w:t>MSY</w:t>
            </w:r>
            <w:r w:rsidR="00473493">
              <w:rPr>
                <w:i/>
                <w:szCs w:val="20"/>
              </w:rPr>
              <w:t>,</w:t>
            </w:r>
            <w:r w:rsidR="00473493">
              <w:rPr>
                <w:szCs w:val="20"/>
              </w:rPr>
              <w:t xml:space="preserve"> </w:t>
            </w:r>
            <w:r w:rsidR="00E75C8D">
              <w:rPr>
                <w:szCs w:val="20"/>
              </w:rPr>
              <w:t xml:space="preserve">TAC, </w:t>
            </w:r>
            <w:r w:rsidR="00473493">
              <w:rPr>
                <w:szCs w:val="20"/>
              </w:rPr>
              <w:t>effort and CPUE</w:t>
            </w:r>
            <w:r w:rsidR="00E75C8D">
              <w:rPr>
                <w:szCs w:val="20"/>
              </w:rPr>
              <w:t xml:space="preserve"> are shown for the </w:t>
            </w:r>
            <w:r w:rsidR="00E75C8D">
              <w:rPr>
                <w:b/>
                <w:szCs w:val="20"/>
              </w:rPr>
              <w:t>RC and first five robustness tests</w:t>
            </w:r>
            <w:r w:rsidR="004D1370">
              <w:rPr>
                <w:szCs w:val="20"/>
              </w:rPr>
              <w:t>. The RS02 RC OM results are shown by the black lines (median trajectories) and dark blue shading (90% P.E.), while the robustness test results are indicated by the red lines and light blue shading. Areas of overlaps between the two P.E.’s are indicated by an intermediate blue.</w:t>
            </w:r>
          </w:p>
        </w:tc>
      </w:tr>
    </w:tbl>
    <w:p w14:paraId="69675848" w14:textId="74499E7A" w:rsidR="00D16D72" w:rsidRDefault="00D16D72" w:rsidP="004F17A7"/>
    <w:tbl>
      <w:tblPr>
        <w:tblStyle w:val="TableGrid"/>
        <w:tblW w:w="5000" w:type="pct"/>
        <w:tblLook w:val="04A0" w:firstRow="1" w:lastRow="0" w:firstColumn="1" w:lastColumn="0" w:noHBand="0" w:noVBand="1"/>
      </w:tblPr>
      <w:tblGrid>
        <w:gridCol w:w="14796"/>
      </w:tblGrid>
      <w:tr w:rsidR="00D16D72" w14:paraId="684014E8" w14:textId="77777777" w:rsidTr="00FE178C">
        <w:tc>
          <w:tcPr>
            <w:tcW w:w="5000" w:type="pct"/>
            <w:tcBorders>
              <w:top w:val="nil"/>
              <w:left w:val="nil"/>
              <w:bottom w:val="nil"/>
              <w:right w:val="nil"/>
            </w:tcBorders>
          </w:tcPr>
          <w:p w14:paraId="572602A3" w14:textId="77777777" w:rsidR="00D16D72" w:rsidRDefault="00D16D72" w:rsidP="00FE178C">
            <w:pPr>
              <w:spacing w:after="120"/>
              <w:jc w:val="center"/>
            </w:pPr>
            <w:r>
              <w:rPr>
                <w:noProof/>
                <w:lang w:val="en-US"/>
              </w:rPr>
              <w:lastRenderedPageBreak/>
              <w:drawing>
                <wp:inline distT="0" distB="0" distL="0" distR="0" wp14:anchorId="50C936C1" wp14:editId="2187AC67">
                  <wp:extent cx="8204400" cy="5331600"/>
                  <wp:effectExtent l="0" t="0" r="635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_compare_projections_outputs_final_CMP_robustness1 (2).jpg"/>
                          <pic:cNvPicPr/>
                        </pic:nvPicPr>
                        <pic:blipFill>
                          <a:blip r:embed="rId14">
                            <a:extLst>
                              <a:ext uri="{28A0092B-C50C-407E-A947-70E740481C1C}">
                                <a14:useLocalDpi xmlns:a14="http://schemas.microsoft.com/office/drawing/2010/main" val="0"/>
                              </a:ext>
                            </a:extLst>
                          </a:blip>
                          <a:stretch>
                            <a:fillRect/>
                          </a:stretch>
                        </pic:blipFill>
                        <pic:spPr>
                          <a:xfrm>
                            <a:off x="0" y="0"/>
                            <a:ext cx="8204400" cy="5331600"/>
                          </a:xfrm>
                          <a:prstGeom prst="rect">
                            <a:avLst/>
                          </a:prstGeom>
                        </pic:spPr>
                      </pic:pic>
                    </a:graphicData>
                  </a:graphic>
                </wp:inline>
              </w:drawing>
            </w:r>
          </w:p>
        </w:tc>
      </w:tr>
      <w:tr w:rsidR="00D16D72" w:rsidRPr="001D13CD" w14:paraId="273253E5" w14:textId="77777777" w:rsidTr="00FE178C">
        <w:trPr>
          <w:trHeight w:val="95"/>
        </w:trPr>
        <w:tc>
          <w:tcPr>
            <w:tcW w:w="5000" w:type="pct"/>
            <w:tcBorders>
              <w:top w:val="nil"/>
              <w:left w:val="nil"/>
              <w:bottom w:val="nil"/>
              <w:right w:val="nil"/>
            </w:tcBorders>
          </w:tcPr>
          <w:p w14:paraId="7D6F057C" w14:textId="35E62FD0" w:rsidR="00D16D72" w:rsidRPr="001D13CD" w:rsidRDefault="002D4B5A" w:rsidP="00FE178C">
            <w:pPr>
              <w:ind w:left="738" w:hanging="73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00FF7098" w:rsidRPr="00DC5A50">
              <w:rPr>
                <w:b/>
                <w:szCs w:val="20"/>
              </w:rPr>
              <w:t xml:space="preserve">Figure </w:t>
            </w:r>
            <w:r w:rsidR="00FF7098">
              <w:rPr>
                <w:b/>
                <w:noProof/>
                <w:szCs w:val="20"/>
              </w:rPr>
              <w:t>2</w:t>
            </w:r>
            <w:r>
              <w:rPr>
                <w:b/>
                <w:szCs w:val="20"/>
              </w:rPr>
              <w:fldChar w:fldCharType="end"/>
            </w:r>
            <w:r w:rsidR="007D3D6F">
              <w:rPr>
                <w:b/>
                <w:szCs w:val="20"/>
              </w:rPr>
              <w:t>b</w:t>
            </w:r>
            <w:r w:rsidR="00D16D72" w:rsidRPr="00DC5A50">
              <w:rPr>
                <w:b/>
                <w:szCs w:val="20"/>
              </w:rPr>
              <w:t xml:space="preserve">: </w:t>
            </w:r>
            <w:r w:rsidR="007D3D6F">
              <w:rPr>
                <w:szCs w:val="20"/>
              </w:rPr>
              <w:t xml:space="preserve">Projected trajectories are shown for the </w:t>
            </w:r>
            <w:r w:rsidR="007D3D6F">
              <w:rPr>
                <w:b/>
                <w:szCs w:val="20"/>
              </w:rPr>
              <w:t>RC and second set of five robustness tests</w:t>
            </w:r>
            <w:r w:rsidR="007D3D6F">
              <w:rPr>
                <w:szCs w:val="20"/>
              </w:rPr>
              <w:t>.</w:t>
            </w:r>
          </w:p>
        </w:tc>
      </w:tr>
    </w:tbl>
    <w:p w14:paraId="0C98EB52" w14:textId="77777777" w:rsidR="00C32DBE" w:rsidRDefault="00C32DBE" w:rsidP="00FF7098">
      <w:pPr>
        <w:sectPr w:rsidR="00C32DBE" w:rsidSect="00FF7098">
          <w:pgSz w:w="16838" w:h="11906" w:orient="landscape"/>
          <w:pgMar w:top="1021" w:right="1021" w:bottom="1021" w:left="1021" w:header="709" w:footer="709" w:gutter="0"/>
          <w:cols w:space="708"/>
          <w:docGrid w:linePitch="360"/>
        </w:sectPr>
      </w:pPr>
    </w:p>
    <w:p w14:paraId="61885F2F" w14:textId="5133EEB7" w:rsidR="00C32DBE" w:rsidRDefault="00C32DBE" w:rsidP="00C32DBE">
      <w:pPr>
        <w:pStyle w:val="Heading1"/>
      </w:pPr>
      <w:r>
        <w:lastRenderedPageBreak/>
        <w:t>Appendix: Additional robustness tests concerning no future surveys</w:t>
      </w:r>
    </w:p>
    <w:p w14:paraId="47B88955" w14:textId="0EADB6EF" w:rsidR="00C32DBE" w:rsidRDefault="00C32DBE" w:rsidP="00C32DBE">
      <w:r>
        <w:t>This Appendix reports results for three additional robustness tests</w:t>
      </w:r>
      <w:r w:rsidR="008C28B4">
        <w:t xml:space="preserve"> requested by the Panel</w:t>
      </w:r>
      <w:r>
        <w:t>:</w:t>
      </w:r>
    </w:p>
    <w:p w14:paraId="0D795401" w14:textId="77777777" w:rsidR="00C32DBE" w:rsidRDefault="00C32DBE" w:rsidP="00C32DBE">
      <w:pPr>
        <w:pStyle w:val="ListParagraph"/>
        <w:numPr>
          <w:ilvl w:val="0"/>
          <w:numId w:val="7"/>
        </w:numPr>
      </w:pPr>
      <w:r>
        <w:t>Decreasing future recruitment</w:t>
      </w:r>
    </w:p>
    <w:p w14:paraId="029860D7" w14:textId="242F0350" w:rsidR="00C32DBE" w:rsidRDefault="00C32DBE" w:rsidP="00C32DBE">
      <w:pPr>
        <w:ind w:left="720"/>
        <w:jc w:val="both"/>
      </w:pPr>
      <w:r>
        <w:t>Previously a robustness test was conducted where future carrying capacity was decreased by 30% over the course of</w:t>
      </w:r>
      <w:r w:rsidR="008C28B4">
        <w:t xml:space="preserve"> the first</w:t>
      </w:r>
      <w:r>
        <w:t xml:space="preserve"> five years</w:t>
      </w:r>
      <w:r w:rsidR="008C28B4">
        <w:t xml:space="preserve"> projected</w:t>
      </w:r>
      <w:r>
        <w:t>, and then maintained at the reduced level for the remainder of the projection period. This reduc</w:t>
      </w:r>
      <w:r w:rsidR="008C28B4">
        <w:t>tion</w:t>
      </w:r>
      <w:r>
        <w:t xml:space="preserve"> in </w:t>
      </w:r>
      <w:r>
        <w:rPr>
          <w:i/>
        </w:rPr>
        <w:t>K</w:t>
      </w:r>
      <w:r>
        <w:t xml:space="preserve"> was intended as a proxy for recruitment failure. Here a robustness test is conducted where the recruitment values for 2018-2022 are halved, but </w:t>
      </w:r>
      <w:r w:rsidR="008C28B4">
        <w:t>return</w:t>
      </w:r>
      <w:r>
        <w:t xml:space="preserve"> to normal levels for the remainder of the projection period.</w:t>
      </w:r>
    </w:p>
    <w:p w14:paraId="2AC7CD9B" w14:textId="77777777" w:rsidR="00C32DBE" w:rsidRDefault="00C32DBE" w:rsidP="00C32DBE">
      <w:pPr>
        <w:pStyle w:val="ListParagraph"/>
        <w:numPr>
          <w:ilvl w:val="0"/>
          <w:numId w:val="7"/>
        </w:numPr>
        <w:contextualSpacing w:val="0"/>
        <w:jc w:val="both"/>
      </w:pPr>
      <w:r>
        <w:t>Decreasing future recruitment plus no surveys</w:t>
      </w:r>
    </w:p>
    <w:p w14:paraId="4E278150" w14:textId="23BB0ACB" w:rsidR="00C32DBE" w:rsidRDefault="00C32DBE" w:rsidP="00C32DBE">
      <w:pPr>
        <w:pStyle w:val="ListParagraph"/>
        <w:contextualSpacing w:val="0"/>
        <w:jc w:val="both"/>
      </w:pPr>
      <w:r>
        <w:t>The robustness test above is combined with the no future surveys robustness test</w:t>
      </w:r>
      <w:r w:rsidR="008C28B4">
        <w:t>.</w:t>
      </w:r>
    </w:p>
    <w:p w14:paraId="5C98A7E9" w14:textId="77777777" w:rsidR="00C32DBE" w:rsidRDefault="00C32DBE" w:rsidP="00C32DBE">
      <w:pPr>
        <w:pStyle w:val="ListParagraph"/>
        <w:numPr>
          <w:ilvl w:val="0"/>
          <w:numId w:val="7"/>
        </w:numPr>
        <w:contextualSpacing w:val="0"/>
        <w:jc w:val="both"/>
      </w:pPr>
      <w:r>
        <w:t>No future surveys plus undetected increase in catchability of 4%</w:t>
      </w:r>
    </w:p>
    <w:p w14:paraId="676E8B48" w14:textId="77777777" w:rsidR="00C32DBE" w:rsidRDefault="00C32DBE" w:rsidP="00C32DBE">
      <w:pPr>
        <w:pStyle w:val="ListParagraph"/>
        <w:contextualSpacing w:val="0"/>
        <w:jc w:val="both"/>
      </w:pPr>
      <w:r>
        <w:t>This is a repeat of RT 5 of Hake/P6a, except that the commercial catchability coefficient is increased by 4% per annum instead of 2%.</w:t>
      </w:r>
    </w:p>
    <w:p w14:paraId="16E229BE" w14:textId="260E9F61" w:rsidR="00C32DBE" w:rsidRDefault="00C32DBE" w:rsidP="00C32DBE">
      <w:pPr>
        <w:jc w:val="both"/>
      </w:pPr>
      <w:r>
        <w:t>Figure A1 plots the performance statistics and Figure A2 the trajectories for the three robustness tests.</w:t>
      </w:r>
    </w:p>
    <w:p w14:paraId="7D6816AA" w14:textId="3A9ED4BA" w:rsidR="00C32DBE" w:rsidRDefault="00C32DBE" w:rsidP="00C32DBE">
      <w:pPr>
        <w:jc w:val="both"/>
      </w:pPr>
      <w:r>
        <w:t>Simulations suggest that while a recruitment failure over the next five years would likely result in a</w:t>
      </w:r>
      <w:r w:rsidR="008C28B4">
        <w:t>n appreciably</w:t>
      </w:r>
      <w:r>
        <w:t xml:space="preserve"> reduced TAC for almost 20 years, the OMP seems to perform adequately in preserving the hake resource, with the depletion levels after 25 years being very similar to the RC estimates. </w:t>
      </w:r>
    </w:p>
    <w:p w14:paraId="1D3A8440" w14:textId="77777777" w:rsidR="00C32DBE" w:rsidRDefault="00C32DBE" w:rsidP="00C32DBE"/>
    <w:p w14:paraId="68F054E7" w14:textId="77777777" w:rsidR="00C32DBE" w:rsidRDefault="00C32DBE" w:rsidP="00C32DBE">
      <w:r>
        <w:br w:type="page"/>
      </w:r>
    </w:p>
    <w:tbl>
      <w:tblPr>
        <w:tblStyle w:val="TableGrid"/>
        <w:tblW w:w="5000" w:type="pct"/>
        <w:tblLook w:val="04A0" w:firstRow="1" w:lastRow="0" w:firstColumn="1" w:lastColumn="0" w:noHBand="0" w:noVBand="1"/>
      </w:tblPr>
      <w:tblGrid>
        <w:gridCol w:w="9864"/>
      </w:tblGrid>
      <w:tr w:rsidR="00C32DBE" w14:paraId="08F58E8E" w14:textId="77777777" w:rsidTr="000913FF">
        <w:tc>
          <w:tcPr>
            <w:tcW w:w="5000" w:type="pct"/>
            <w:tcBorders>
              <w:top w:val="nil"/>
              <w:left w:val="nil"/>
              <w:bottom w:val="nil"/>
              <w:right w:val="nil"/>
            </w:tcBorders>
          </w:tcPr>
          <w:p w14:paraId="66F610F6" w14:textId="77777777" w:rsidR="00C32DBE" w:rsidRDefault="00C32DBE" w:rsidP="000913FF">
            <w:pPr>
              <w:spacing w:after="120"/>
              <w:jc w:val="center"/>
            </w:pPr>
            <w:r>
              <w:rPr>
                <w:noProof/>
              </w:rPr>
              <w:lastRenderedPageBreak/>
              <w:drawing>
                <wp:inline distT="0" distB="0" distL="0" distR="0" wp14:anchorId="44CF212D" wp14:editId="59389E1A">
                  <wp:extent cx="6263498" cy="8053070"/>
                  <wp:effectExtent l="0" t="0" r="444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9).jpg"/>
                          <pic:cNvPicPr/>
                        </pic:nvPicPr>
                        <pic:blipFill>
                          <a:blip r:embed="rId15">
                            <a:extLst>
                              <a:ext uri="{28A0092B-C50C-407E-A947-70E740481C1C}">
                                <a14:useLocalDpi xmlns:a14="http://schemas.microsoft.com/office/drawing/2010/main" val="0"/>
                              </a:ext>
                            </a:extLst>
                          </a:blip>
                          <a:stretch>
                            <a:fillRect/>
                          </a:stretch>
                        </pic:blipFill>
                        <pic:spPr>
                          <a:xfrm>
                            <a:off x="0" y="0"/>
                            <a:ext cx="6263498" cy="8053070"/>
                          </a:xfrm>
                          <a:prstGeom prst="rect">
                            <a:avLst/>
                          </a:prstGeom>
                        </pic:spPr>
                      </pic:pic>
                    </a:graphicData>
                  </a:graphic>
                </wp:inline>
              </w:drawing>
            </w:r>
          </w:p>
        </w:tc>
      </w:tr>
      <w:tr w:rsidR="00C32DBE" w:rsidRPr="001D13CD" w14:paraId="43ED5FC6" w14:textId="77777777" w:rsidTr="000913FF">
        <w:trPr>
          <w:trHeight w:val="87"/>
        </w:trPr>
        <w:tc>
          <w:tcPr>
            <w:tcW w:w="5000" w:type="pct"/>
            <w:tcBorders>
              <w:top w:val="nil"/>
              <w:left w:val="nil"/>
              <w:bottom w:val="nil"/>
              <w:right w:val="nil"/>
            </w:tcBorders>
          </w:tcPr>
          <w:p w14:paraId="4F6A8140" w14:textId="025C45D3" w:rsidR="00C32DBE" w:rsidRPr="00A316ED" w:rsidRDefault="00C32DBE" w:rsidP="000913FF">
            <w:pPr>
              <w:spacing w:after="120"/>
              <w:ind w:left="737" w:hanging="737"/>
              <w:jc w:val="both"/>
              <w:rPr>
                <w:szCs w:val="20"/>
              </w:rPr>
            </w:pPr>
            <w:bookmarkStart w:id="5" w:name="_Ref526450773"/>
            <w:r w:rsidRPr="00DC5A50">
              <w:rPr>
                <w:b/>
                <w:szCs w:val="20"/>
              </w:rPr>
              <w:t xml:space="preserve">Figure </w:t>
            </w:r>
            <w:r>
              <w:rPr>
                <w:b/>
                <w:szCs w:val="20"/>
              </w:rPr>
              <w:t>A</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1</w:t>
            </w:r>
            <w:r w:rsidRPr="00DC5A50">
              <w:rPr>
                <w:b/>
                <w:i/>
                <w:szCs w:val="20"/>
              </w:rPr>
              <w:fldChar w:fldCharType="end"/>
            </w:r>
            <w:bookmarkEnd w:id="5"/>
            <w:r w:rsidRPr="00DC5A50">
              <w:rPr>
                <w:b/>
                <w:szCs w:val="20"/>
              </w:rPr>
              <w:t xml:space="preserve">: </w:t>
            </w:r>
            <w:proofErr w:type="spellStart"/>
            <w:r>
              <w:rPr>
                <w:szCs w:val="20"/>
              </w:rPr>
              <w:t>Zeh</w:t>
            </w:r>
            <w:proofErr w:type="spellEnd"/>
            <w:r>
              <w:rPr>
                <w:szCs w:val="20"/>
              </w:rPr>
              <w:t xml:space="preserve"> plots of the performance statistics for the RC and three additional robustness tests.</w:t>
            </w:r>
          </w:p>
        </w:tc>
      </w:tr>
    </w:tbl>
    <w:p w14:paraId="047FFB83" w14:textId="77777777" w:rsidR="00C32DBE" w:rsidRDefault="00C32DBE" w:rsidP="00C32DBE"/>
    <w:p w14:paraId="3CE07621" w14:textId="77777777" w:rsidR="00C32DBE" w:rsidRDefault="00C32DBE" w:rsidP="00C32DBE">
      <w:r>
        <w:br w:type="page"/>
      </w:r>
    </w:p>
    <w:tbl>
      <w:tblPr>
        <w:tblStyle w:val="TableGrid"/>
        <w:tblW w:w="5000" w:type="pct"/>
        <w:tblLook w:val="04A0" w:firstRow="1" w:lastRow="0" w:firstColumn="1" w:lastColumn="0" w:noHBand="0" w:noVBand="1"/>
      </w:tblPr>
      <w:tblGrid>
        <w:gridCol w:w="9864"/>
      </w:tblGrid>
      <w:tr w:rsidR="00C32DBE" w14:paraId="2222DB8F" w14:textId="77777777" w:rsidTr="000913FF">
        <w:tc>
          <w:tcPr>
            <w:tcW w:w="5000" w:type="pct"/>
            <w:tcBorders>
              <w:top w:val="nil"/>
              <w:left w:val="nil"/>
              <w:bottom w:val="nil"/>
              <w:right w:val="nil"/>
            </w:tcBorders>
          </w:tcPr>
          <w:p w14:paraId="0A20A9E8" w14:textId="77777777" w:rsidR="00C32DBE" w:rsidRDefault="00C32DBE" w:rsidP="000913FF">
            <w:pPr>
              <w:spacing w:after="120"/>
              <w:jc w:val="center"/>
            </w:pPr>
            <w:r>
              <w:rPr>
                <w:noProof/>
              </w:rPr>
              <w:lastRenderedPageBreak/>
              <w:drawing>
                <wp:inline distT="0" distB="0" distL="0" distR="0" wp14:anchorId="6C1634B8" wp14:editId="2AF1588D">
                  <wp:extent cx="6263640" cy="8053070"/>
                  <wp:effectExtent l="0" t="0" r="381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 (8).jpg"/>
                          <pic:cNvPicPr/>
                        </pic:nvPicPr>
                        <pic:blipFill>
                          <a:blip r:embed="rId16">
                            <a:extLst>
                              <a:ext uri="{28A0092B-C50C-407E-A947-70E740481C1C}">
                                <a14:useLocalDpi xmlns:a14="http://schemas.microsoft.com/office/drawing/2010/main" val="0"/>
                              </a:ext>
                            </a:extLst>
                          </a:blip>
                          <a:stretch>
                            <a:fillRect/>
                          </a:stretch>
                        </pic:blipFill>
                        <pic:spPr>
                          <a:xfrm>
                            <a:off x="0" y="0"/>
                            <a:ext cx="6263640" cy="8053070"/>
                          </a:xfrm>
                          <a:prstGeom prst="rect">
                            <a:avLst/>
                          </a:prstGeom>
                        </pic:spPr>
                      </pic:pic>
                    </a:graphicData>
                  </a:graphic>
                </wp:inline>
              </w:drawing>
            </w:r>
          </w:p>
        </w:tc>
      </w:tr>
      <w:tr w:rsidR="00C32DBE" w:rsidRPr="00A316ED" w14:paraId="7A867CF1" w14:textId="77777777" w:rsidTr="000913FF">
        <w:trPr>
          <w:trHeight w:val="87"/>
        </w:trPr>
        <w:tc>
          <w:tcPr>
            <w:tcW w:w="5000" w:type="pct"/>
            <w:tcBorders>
              <w:top w:val="nil"/>
              <w:left w:val="nil"/>
              <w:bottom w:val="nil"/>
              <w:right w:val="nil"/>
            </w:tcBorders>
          </w:tcPr>
          <w:p w14:paraId="2E4DD238" w14:textId="1E2B0143" w:rsidR="00C32DBE" w:rsidRPr="00A316ED" w:rsidRDefault="00C32DBE" w:rsidP="000913FF">
            <w:pPr>
              <w:ind w:left="738" w:hanging="738"/>
              <w:jc w:val="both"/>
              <w:rPr>
                <w:szCs w:val="20"/>
              </w:rPr>
            </w:pPr>
            <w:r w:rsidRPr="00DC5A50">
              <w:rPr>
                <w:b/>
                <w:szCs w:val="20"/>
              </w:rPr>
              <w:t xml:space="preserve">Figure </w:t>
            </w:r>
            <w:r>
              <w:rPr>
                <w:b/>
                <w:szCs w:val="20"/>
              </w:rPr>
              <w:t>A</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2</w:t>
            </w:r>
            <w:r w:rsidRPr="00DC5A50">
              <w:rPr>
                <w:b/>
                <w:i/>
                <w:szCs w:val="20"/>
              </w:rPr>
              <w:fldChar w:fldCharType="end"/>
            </w:r>
            <w:r w:rsidRPr="00DC5A50">
              <w:rPr>
                <w:b/>
                <w:szCs w:val="20"/>
              </w:rPr>
              <w:t xml:space="preserve">: </w:t>
            </w:r>
            <w:r>
              <w:rPr>
                <w:szCs w:val="20"/>
              </w:rPr>
              <w:t>Trajectories for the RC OM (black lines for medians and grey shaded areas for 90% probability envelopes) are contrasted with the three additional robustness tests (red lines for medians and blue shaded area for 90% probability envelopes).</w:t>
            </w:r>
          </w:p>
        </w:tc>
      </w:tr>
    </w:tbl>
    <w:p w14:paraId="14741826" w14:textId="77777777" w:rsidR="00C32DBE" w:rsidRPr="009D224E" w:rsidRDefault="00C32DBE" w:rsidP="00C32DBE"/>
    <w:p w14:paraId="2BB3D6E7" w14:textId="549C55EB" w:rsidR="00FF7098" w:rsidRPr="005B5D32" w:rsidRDefault="00FF7098" w:rsidP="00FF7098"/>
    <w:sectPr w:rsidR="00FF7098" w:rsidRPr="005B5D32" w:rsidSect="00EE3C72">
      <w:pgSz w:w="11906" w:h="1683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78C2EE" w14:textId="77777777" w:rsidR="004719FD" w:rsidRDefault="004719FD" w:rsidP="000123C4">
      <w:pPr>
        <w:spacing w:after="0" w:line="240" w:lineRule="auto"/>
      </w:pPr>
      <w:r>
        <w:separator/>
      </w:r>
    </w:p>
  </w:endnote>
  <w:endnote w:type="continuationSeparator" w:id="0">
    <w:p w14:paraId="0F6B89DA" w14:textId="77777777" w:rsidR="004719FD" w:rsidRDefault="004719FD" w:rsidP="000123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8521036"/>
      <w:docPartObj>
        <w:docPartGallery w:val="Page Numbers (Bottom of Page)"/>
        <w:docPartUnique/>
      </w:docPartObj>
    </w:sdtPr>
    <w:sdtEndPr>
      <w:rPr>
        <w:noProof/>
      </w:rPr>
    </w:sdtEndPr>
    <w:sdtContent>
      <w:p w14:paraId="3EDFA430" w14:textId="40683B92" w:rsidR="00AC702F" w:rsidRDefault="00AC702F">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7B633BF7" w14:textId="77777777" w:rsidR="00AC702F" w:rsidRDefault="00AC70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3E2BC4" w14:textId="77777777" w:rsidR="004719FD" w:rsidRDefault="004719FD" w:rsidP="000123C4">
      <w:pPr>
        <w:spacing w:after="0" w:line="240" w:lineRule="auto"/>
      </w:pPr>
      <w:r>
        <w:separator/>
      </w:r>
    </w:p>
  </w:footnote>
  <w:footnote w:type="continuationSeparator" w:id="0">
    <w:p w14:paraId="732549CA" w14:textId="77777777" w:rsidR="004719FD" w:rsidRDefault="004719FD" w:rsidP="000123C4">
      <w:pPr>
        <w:spacing w:after="0" w:line="240" w:lineRule="auto"/>
      </w:pPr>
      <w:r>
        <w:continuationSeparator/>
      </w:r>
    </w:p>
  </w:footnote>
  <w:footnote w:id="1">
    <w:p w14:paraId="5B67AF9D" w14:textId="62886E2C" w:rsidR="00AC702F" w:rsidRDefault="00AC702F" w:rsidP="000123C4">
      <w:pPr>
        <w:pStyle w:val="FootnoteText"/>
      </w:pPr>
      <w:r>
        <w:rPr>
          <w:rStyle w:val="FootnoteReference"/>
        </w:rPr>
        <w:footnoteRef/>
      </w:r>
      <w:r>
        <w:t xml:space="preserve"> Marine Resource Assessment and Management Group, Department of Mathematics and Applied Mathematics, University of Cape Town, Rondebosch 7701.</w:t>
      </w:r>
    </w:p>
  </w:footnote>
  <w:footnote w:id="2">
    <w:p w14:paraId="05276B64" w14:textId="4BA89985" w:rsidR="00AC702F" w:rsidRDefault="00AC702F">
      <w:pPr>
        <w:pStyle w:val="FootnoteText"/>
      </w:pPr>
      <w:r>
        <w:rPr>
          <w:rStyle w:val="FootnoteReference"/>
        </w:rPr>
        <w:footnoteRef/>
      </w:r>
      <w:r>
        <w:t xml:space="preserve"> </w:t>
      </w:r>
      <w:bookmarkStart w:id="1" w:name="_Hlk529351775"/>
      <w:r>
        <w:t xml:space="preserve">Note that when the </w:t>
      </w:r>
      <w:r w:rsidRPr="000D1521">
        <w:rPr>
          <w:i/>
        </w:rPr>
        <w:t>b</w:t>
      </w:r>
      <w:r>
        <w:t xml:space="preserve"> parameters for </w:t>
      </w:r>
      <w:r w:rsidRPr="000D1521">
        <w:rPr>
          <w:i/>
        </w:rPr>
        <w:t>M. paradoxus</w:t>
      </w:r>
      <w:r>
        <w:t xml:space="preserve"> and for </w:t>
      </w:r>
      <w:r w:rsidRPr="000D1521">
        <w:rPr>
          <w:i/>
        </w:rPr>
        <w:t xml:space="preserve">M. </w:t>
      </w:r>
      <w:proofErr w:type="spellStart"/>
      <w:r w:rsidRPr="000D1521">
        <w:rPr>
          <w:i/>
        </w:rPr>
        <w:t>capensis</w:t>
      </w:r>
      <w:proofErr w:type="spellEnd"/>
      <w:r>
        <w:t xml:space="preserve"> are modified, this is always such as maintains their original ratio</w:t>
      </w:r>
      <w:bookmarkEnd w:id="1"/>
      <w:r>
        <w:t xml:space="preserve">. Sometimes therefore, these </w:t>
      </w:r>
      <w:r w:rsidRPr="0028067C">
        <w:rPr>
          <w:i/>
        </w:rPr>
        <w:t xml:space="preserve">b </w:t>
      </w:r>
      <w:r>
        <w:t>parameters are referenced in the singular rather than the plural.</w:t>
      </w:r>
    </w:p>
  </w:footnote>
  <w:footnote w:id="3">
    <w:p w14:paraId="64E1D011" w14:textId="458D9753" w:rsidR="00AC702F" w:rsidRPr="00821AAB" w:rsidRDefault="00AC702F">
      <w:pPr>
        <w:pStyle w:val="FootnoteText"/>
      </w:pPr>
      <w:r>
        <w:rPr>
          <w:rStyle w:val="FootnoteReference"/>
        </w:rPr>
        <w:footnoteRef/>
      </w:r>
      <w:r>
        <w:t xml:space="preserve"> When a single </w:t>
      </w:r>
      <w:r>
        <w:rPr>
          <w:i/>
        </w:rPr>
        <w:t>q</w:t>
      </w:r>
      <w:r>
        <w:t xml:space="preserve"> value for all industry vessels was estimated in the RC OM, the resulting estimate was roughly 0.80, which is consistent with what has been estimated in MARAM/IWS/2018/Hake/BG5.</w:t>
      </w:r>
    </w:p>
  </w:footnote>
  <w:footnote w:id="4">
    <w:p w14:paraId="1D2443D9" w14:textId="77777777" w:rsidR="00AC702F" w:rsidRPr="00D44C19" w:rsidRDefault="00AC702F" w:rsidP="005C455A">
      <w:pPr>
        <w:pStyle w:val="FootnoteText"/>
      </w:pPr>
      <w:r>
        <w:rPr>
          <w:rStyle w:val="FootnoteReference"/>
        </w:rPr>
        <w:footnoteRef/>
      </w:r>
      <w:r>
        <w:t xml:space="preserve"> If </w:t>
      </w:r>
      <w:proofErr w:type="spellStart"/>
      <w:r>
        <w:t>ln</w:t>
      </w:r>
      <w:r>
        <w:rPr>
          <w:i/>
        </w:rPr>
        <w:t>R</w:t>
      </w:r>
      <w:proofErr w:type="spellEnd"/>
      <w:r>
        <w:rPr>
          <w:i/>
        </w:rPr>
        <w:t xml:space="preserve"> </w:t>
      </w:r>
      <w:r>
        <w:t>is normally distributed with mean µ and variance σ</w:t>
      </w:r>
      <w:r>
        <w:rPr>
          <w:vertAlign w:val="superscript"/>
        </w:rPr>
        <w:t>2</w:t>
      </w:r>
      <w:r>
        <w:t xml:space="preserve">, then the median of the distribution of </w:t>
      </w:r>
      <w:r>
        <w:rPr>
          <w:i/>
        </w:rPr>
        <w:t>R</w:t>
      </w:r>
      <w:r>
        <w:t xml:space="preserve"> is given by </w:t>
      </w:r>
      <m:oMath>
        <m:sSup>
          <m:sSupPr>
            <m:ctrlPr>
              <w:rPr>
                <w:rFonts w:ascii="Cambria Math" w:hAnsi="Cambria Math"/>
                <w:i/>
              </w:rPr>
            </m:ctrlPr>
          </m:sSupPr>
          <m:e>
            <m:sSub>
              <m:sSubPr>
                <m:ctrlPr>
                  <w:rPr>
                    <w:rFonts w:ascii="Cambria Math" w:hAnsi="Cambria Math"/>
                    <w:i/>
                  </w:rPr>
                </m:ctrlPr>
              </m:sSubPr>
              <m:e>
                <m:r>
                  <w:rPr>
                    <w:rFonts w:ascii="Cambria Math" w:hAnsi="Cambria Math"/>
                  </w:rPr>
                  <m:t>θ</m:t>
                </m:r>
              </m:e>
              <m:sub>
                <m:r>
                  <w:rPr>
                    <w:rFonts w:ascii="Cambria Math" w:hAnsi="Cambria Math"/>
                  </w:rPr>
                  <m:t>R</m:t>
                </m:r>
              </m:sub>
            </m:sSub>
            <m:r>
              <w:rPr>
                <w:rFonts w:ascii="Cambria Math" w:hAnsi="Cambria Math"/>
              </w:rPr>
              <m:t>=e</m:t>
            </m:r>
          </m:e>
          <m:sup>
            <m:r>
              <w:rPr>
                <w:rFonts w:ascii="Cambria Math" w:hAnsi="Cambria Math"/>
              </w:rPr>
              <m:t>μ</m:t>
            </m:r>
          </m:sup>
        </m:sSup>
      </m:oMath>
      <w:r>
        <w:t xml:space="preserve"> and the variance by </w:t>
      </w:r>
      <m:oMath>
        <m:sSub>
          <m:sSubPr>
            <m:ctrlPr>
              <w:rPr>
                <w:rFonts w:ascii="Cambria Math" w:hAnsi="Cambria Math"/>
                <w:i/>
              </w:rPr>
            </m:ctrlPr>
          </m:sSubPr>
          <m:e>
            <m:r>
              <w:rPr>
                <w:rFonts w:ascii="Cambria Math" w:hAnsi="Cambria Math"/>
              </w:rPr>
              <m:t>σ</m:t>
            </m:r>
          </m:e>
          <m:sub>
            <m:r>
              <w:rPr>
                <w:rFonts w:ascii="Cambria Math" w:hAnsi="Cambria Math"/>
              </w:rPr>
              <m:t>R</m:t>
            </m:r>
          </m:sub>
        </m:sSub>
        <m:r>
          <w:rPr>
            <w:rFonts w:ascii="Cambria Math" w:hAnsi="Cambria Math"/>
          </w:rPr>
          <m:t>=</m:t>
        </m:r>
        <m:d>
          <m:dPr>
            <m:ctrlPr>
              <w:rPr>
                <w:rFonts w:ascii="Cambria Math" w:hAnsi="Cambria Math"/>
                <w:i/>
              </w:rPr>
            </m:ctrlPr>
          </m:dPr>
          <m:e>
            <m:sSup>
              <m:sSupPr>
                <m:ctrlPr>
                  <w:rPr>
                    <w:rFonts w:ascii="Cambria Math" w:hAnsi="Cambria Math"/>
                    <w:i/>
                  </w:rPr>
                </m:ctrlPr>
              </m:sSupPr>
              <m:e>
                <m:r>
                  <w:rPr>
                    <w:rFonts w:ascii="Cambria Math" w:hAnsi="Cambria Math"/>
                  </w:rPr>
                  <m:t>e</m:t>
                </m:r>
              </m:e>
              <m:sup>
                <m:sSup>
                  <m:sSupPr>
                    <m:ctrlPr>
                      <w:rPr>
                        <w:rFonts w:ascii="Cambria Math" w:hAnsi="Cambria Math"/>
                        <w:i/>
                      </w:rPr>
                    </m:ctrlPr>
                  </m:sSupPr>
                  <m:e>
                    <m:r>
                      <w:rPr>
                        <w:rFonts w:ascii="Cambria Math" w:hAnsi="Cambria Math"/>
                      </w:rPr>
                      <m:t>σ</m:t>
                    </m:r>
                  </m:e>
                  <m:sup>
                    <m:r>
                      <w:rPr>
                        <w:rFonts w:ascii="Cambria Math" w:hAnsi="Cambria Math"/>
                      </w:rPr>
                      <m:t>2</m:t>
                    </m:r>
                  </m:sup>
                </m:sSup>
              </m:sup>
            </m:sSup>
            <m:r>
              <w:rPr>
                <w:rFonts w:ascii="Cambria Math" w:hAnsi="Cambria Math"/>
              </w:rPr>
              <m:t>-1</m:t>
            </m:r>
          </m:e>
        </m:d>
        <m:d>
          <m:dPr>
            <m:ctrlPr>
              <w:rPr>
                <w:rFonts w:ascii="Cambria Math" w:hAnsi="Cambria Math"/>
                <w:i/>
              </w:rPr>
            </m:ctrlPr>
          </m:dPr>
          <m:e>
            <m:sSup>
              <m:sSupPr>
                <m:ctrlPr>
                  <w:rPr>
                    <w:rFonts w:ascii="Cambria Math" w:hAnsi="Cambria Math"/>
                    <w:i/>
                  </w:rPr>
                </m:ctrlPr>
              </m:sSupPr>
              <m:e>
                <m:r>
                  <w:rPr>
                    <w:rFonts w:ascii="Cambria Math" w:hAnsi="Cambria Math"/>
                  </w:rPr>
                  <m:t>e</m:t>
                </m:r>
              </m:e>
              <m:sup>
                <m:r>
                  <w:rPr>
                    <w:rFonts w:ascii="Cambria Math" w:hAnsi="Cambria Math"/>
                  </w:rPr>
                  <m:t>2μ+</m:t>
                </m:r>
                <m:sSup>
                  <m:sSupPr>
                    <m:ctrlPr>
                      <w:rPr>
                        <w:rFonts w:ascii="Cambria Math" w:hAnsi="Cambria Math"/>
                        <w:i/>
                      </w:rPr>
                    </m:ctrlPr>
                  </m:sSupPr>
                  <m:e>
                    <m:r>
                      <w:rPr>
                        <w:rFonts w:ascii="Cambria Math" w:hAnsi="Cambria Math"/>
                      </w:rPr>
                      <m:t>σ</m:t>
                    </m:r>
                  </m:e>
                  <m:sup>
                    <m:r>
                      <w:rPr>
                        <w:rFonts w:ascii="Cambria Math" w:hAnsi="Cambria Math"/>
                      </w:rPr>
                      <m:t>2</m:t>
                    </m:r>
                  </m:sup>
                </m:sSup>
              </m:sup>
            </m:sSup>
          </m:e>
        </m:d>
      </m:oMath>
      <w:r>
        <w:rPr>
          <w:rFonts w:eastAsiaTheme="minorEastAsia"/>
        </w:rPr>
        <w:t xml:space="preserve">. Since </w:t>
      </w:r>
      <m:oMath>
        <m:sSub>
          <m:sSubPr>
            <m:ctrlPr>
              <w:rPr>
                <w:rFonts w:ascii="Cambria Math" w:hAnsi="Cambria Math"/>
                <w:i/>
              </w:rPr>
            </m:ctrlPr>
          </m:sSubPr>
          <m:e>
            <m:r>
              <w:rPr>
                <w:rFonts w:ascii="Cambria Math" w:hAnsi="Cambria Math"/>
              </w:rPr>
              <m:t>θ</m:t>
            </m:r>
          </m:e>
          <m:sub>
            <m:r>
              <w:rPr>
                <w:rFonts w:ascii="Cambria Math" w:hAnsi="Cambria Math"/>
              </w:rPr>
              <m:t>R</m:t>
            </m:r>
          </m:sub>
        </m:sSub>
        <m:r>
          <w:rPr>
            <w:rFonts w:ascii="Cambria Math" w:hAnsi="Cambria Math"/>
          </w:rPr>
          <m:t>=0.80</m:t>
        </m:r>
      </m:oMath>
      <w:r>
        <w:rPr>
          <w:rFonts w:eastAsiaTheme="minorEastAsia"/>
        </w:rPr>
        <w:t xml:space="preserve"> and </w:t>
      </w:r>
      <m:oMath>
        <m:sSub>
          <m:sSubPr>
            <m:ctrlPr>
              <w:rPr>
                <w:rFonts w:ascii="Cambria Math" w:hAnsi="Cambria Math"/>
                <w:i/>
              </w:rPr>
            </m:ctrlPr>
          </m:sSubPr>
          <m:e>
            <m:r>
              <w:rPr>
                <w:rFonts w:ascii="Cambria Math" w:hAnsi="Cambria Math"/>
              </w:rPr>
              <m:t>σ</m:t>
            </m:r>
          </m:e>
          <m:sub>
            <m:r>
              <w:rPr>
                <w:rFonts w:ascii="Cambria Math" w:hAnsi="Cambria Math"/>
              </w:rPr>
              <m:t>R</m:t>
            </m:r>
          </m:sub>
        </m:sSub>
        <m:r>
          <w:rPr>
            <w:rFonts w:ascii="Cambria Math" w:hAnsi="Cambria Math"/>
          </w:rPr>
          <m:t>=0.18</m:t>
        </m:r>
      </m:oMath>
      <w:r>
        <w:rPr>
          <w:rFonts w:eastAsiaTheme="minorEastAsia"/>
        </w:rPr>
        <w:t xml:space="preserve">, it follows that </w:t>
      </w:r>
      <m:oMath>
        <m:r>
          <w:rPr>
            <w:rFonts w:ascii="Cambria Math" w:hAnsi="Cambria Math"/>
          </w:rPr>
          <m:t>μ=ln0.80</m:t>
        </m:r>
      </m:oMath>
      <w:r>
        <w:rPr>
          <w:rFonts w:eastAsiaTheme="minorEastAsia"/>
        </w:rPr>
        <w:t xml:space="preserve"> and </w:t>
      </w:r>
      <m:oMath>
        <m:r>
          <w:rPr>
            <w:rFonts w:ascii="Cambria Math" w:hAnsi="Cambria Math"/>
          </w:rPr>
          <m:t>σ=0.22</m:t>
        </m:r>
      </m:oMath>
      <w:r>
        <w:rPr>
          <w:rFonts w:eastAsiaTheme="minorEastAsia"/>
        </w:rPr>
        <w:t>.</w:t>
      </w:r>
    </w:p>
  </w:footnote>
  <w:footnote w:id="5">
    <w:p w14:paraId="6DE33E97" w14:textId="5F3C1D63" w:rsidR="00AC702F" w:rsidRPr="0046582D" w:rsidRDefault="00AC702F">
      <w:pPr>
        <w:pStyle w:val="FootnoteText"/>
      </w:pPr>
      <w:r>
        <w:rPr>
          <w:rStyle w:val="FootnoteReference"/>
        </w:rPr>
        <w:footnoteRef/>
      </w:r>
      <w:r>
        <w:t xml:space="preserve"> Note that there was an error in this equation in </w:t>
      </w:r>
      <w:r w:rsidRPr="0046582D">
        <w:t>FISHERIES/2018/OCT/SWG-DEM/71,</w:t>
      </w:r>
      <w:r>
        <w:t xml:space="preserve"> which has been corrected here and the robustness test has been re-run.</w:t>
      </w:r>
    </w:p>
  </w:footnote>
  <w:footnote w:id="6">
    <w:p w14:paraId="48194BB0" w14:textId="71B6D1D5" w:rsidR="00AC702F" w:rsidRPr="006C2F37" w:rsidRDefault="00AC702F">
      <w:pPr>
        <w:pStyle w:val="FootnoteText"/>
      </w:pPr>
      <w:r>
        <w:rPr>
          <w:rStyle w:val="FootnoteReference"/>
        </w:rPr>
        <w:footnoteRef/>
      </w:r>
      <w:r>
        <w:t xml:space="preserve"> Dynamic </w:t>
      </w:r>
      <w:r w:rsidRPr="000D1521">
        <w:rPr>
          <w:i/>
        </w:rPr>
        <w:t>K</w:t>
      </w:r>
      <w:r>
        <w:t xml:space="preserve"> is the trajectory that would be followed by a population in the absence of catches in circumstances where population dynamics parameters (in particular those of the stock-recruitment relationship) change over time. This differs from the trajectory for </w:t>
      </w:r>
      <w:r w:rsidRPr="000D1521">
        <w:rPr>
          <w:i/>
        </w:rPr>
        <w:t>K</w:t>
      </w:r>
      <w:r>
        <w:t xml:space="preserve"> itself as a result of demographically induced delay effects. Dynamic </w:t>
      </w:r>
      <w:r w:rsidRPr="001C3A2F">
        <w:rPr>
          <w:i/>
        </w:rPr>
        <w:t>B</w:t>
      </w:r>
      <w:r w:rsidRPr="001C3A2F">
        <w:rPr>
          <w:i/>
          <w:vertAlign w:val="subscript"/>
        </w:rPr>
        <w:t>MSY</w:t>
      </w:r>
      <w:r>
        <w:t xml:space="preserve"> is conventionally assumed to remain the same proportion of dynamic </w:t>
      </w:r>
      <w:r w:rsidRPr="000D1521">
        <w:rPr>
          <w:i/>
        </w:rPr>
        <w:t>K</w:t>
      </w:r>
      <w:r>
        <w:t xml:space="preserve"> during such changes. For the performance statistics in the tables though, true and dynamic </w:t>
      </w:r>
      <w:r w:rsidRPr="000D1521">
        <w:rPr>
          <w:i/>
        </w:rPr>
        <w:t>K</w:t>
      </w:r>
      <w:r>
        <w:t xml:space="preserve"> are the same, as in the years for which the statistics are reported, the transient effects associated with the differences between the two have died out, so that the extra computational complexity of computing dynamic </w:t>
      </w:r>
      <w:r w:rsidRPr="001C3A2F">
        <w:rPr>
          <w:i/>
        </w:rPr>
        <w:t>B</w:t>
      </w:r>
      <w:r w:rsidRPr="001C3A2F">
        <w:rPr>
          <w:i/>
          <w:vertAlign w:val="subscript"/>
        </w:rPr>
        <w:t>MSY</w:t>
      </w:r>
      <w:r>
        <w:t xml:space="preserve"> for all years could be bypassed. The </w:t>
      </w:r>
      <w:r>
        <w:rPr>
          <w:i/>
        </w:rPr>
        <w:t>B/B</w:t>
      </w:r>
      <w:r>
        <w:rPr>
          <w:i/>
          <w:vertAlign w:val="subscript"/>
        </w:rPr>
        <w:t>MSY</w:t>
      </w:r>
      <w:r>
        <w:t xml:space="preserve"> trajectories plotted in </w:t>
      </w:r>
      <w:r w:rsidRPr="003B4735">
        <w:fldChar w:fldCharType="begin"/>
      </w:r>
      <w:r w:rsidRPr="003B4735">
        <w:instrText xml:space="preserve"> REF _Ref527206235 \h  \* MERGEFORMAT </w:instrText>
      </w:r>
      <w:r w:rsidRPr="003B4735">
        <w:fldChar w:fldCharType="separate"/>
      </w:r>
      <w:r w:rsidRPr="003B4735">
        <w:t xml:space="preserve">Figures </w:t>
      </w:r>
      <w:r w:rsidRPr="003B4735">
        <w:rPr>
          <w:noProof/>
        </w:rPr>
        <w:t>3</w:t>
      </w:r>
      <w:r w:rsidRPr="003B4735">
        <w:fldChar w:fldCharType="end"/>
      </w:r>
      <w:r>
        <w:t xml:space="preserve">b for the robustness tests changing </w:t>
      </w:r>
      <w:r>
        <w:rPr>
          <w:i/>
        </w:rPr>
        <w:t>K</w:t>
      </w:r>
      <w:r>
        <w:t xml:space="preserve"> are, however, consequently marginally in error.</w:t>
      </w:r>
    </w:p>
  </w:footnote>
  <w:footnote w:id="7">
    <w:p w14:paraId="7182259D" w14:textId="6D4B94AC" w:rsidR="00AC702F" w:rsidRDefault="00AC702F" w:rsidP="00F32D88">
      <w:pPr>
        <w:pStyle w:val="FootnoteText"/>
      </w:pPr>
      <w:r>
        <w:rPr>
          <w:rStyle w:val="FootnoteReference"/>
        </w:rPr>
        <w:footnoteRef/>
      </w:r>
      <w:r>
        <w:t xml:space="preserve"> The reason for placing trajectories in quotes here is that the means and medians here do not reflect actual achieved trajectories in some simulation, but rather joining the mean or median values from the predicted distributions for successive future years. Quotation marks will not be used for this word elsewhere in the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38D2D2" w14:textId="09395B2C" w:rsidR="00AC702F" w:rsidRDefault="00AC702F" w:rsidP="0069314E">
    <w:pPr>
      <w:pStyle w:val="Header"/>
      <w:jc w:val="right"/>
      <w:rPr>
        <w:i/>
      </w:rPr>
    </w:pPr>
    <w:r>
      <w:rPr>
        <w:i/>
      </w:rPr>
      <w:t>MARAM/IWS/2018/Hake/P6a</w:t>
    </w:r>
    <w:r w:rsidR="00ED7F66">
      <w:rPr>
        <w:i/>
      </w:rPr>
      <w:t>rev</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A02FB9"/>
    <w:multiLevelType w:val="hybridMultilevel"/>
    <w:tmpl w:val="322E80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18E41221"/>
    <w:multiLevelType w:val="hybridMultilevel"/>
    <w:tmpl w:val="0E76070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E7B076A"/>
    <w:multiLevelType w:val="hybridMultilevel"/>
    <w:tmpl w:val="4A28744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1B14393"/>
    <w:multiLevelType w:val="hybridMultilevel"/>
    <w:tmpl w:val="6CA2EA0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FCA662C"/>
    <w:multiLevelType w:val="hybridMultilevel"/>
    <w:tmpl w:val="C31CC564"/>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627C0251"/>
    <w:multiLevelType w:val="hybridMultilevel"/>
    <w:tmpl w:val="3204331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66785EC2"/>
    <w:multiLevelType w:val="hybridMultilevel"/>
    <w:tmpl w:val="6C36BBC0"/>
    <w:lvl w:ilvl="0" w:tplc="6CC2D478">
      <w:start w:val="1"/>
      <w:numFmt w:val="decimal"/>
      <w:lvlText w:val="%1."/>
      <w:lvlJc w:val="left"/>
      <w:pPr>
        <w:ind w:left="786" w:hanging="360"/>
      </w:pPr>
      <w:rPr>
        <w:b w:val="0"/>
        <w: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4"/>
  </w:num>
  <w:num w:numId="2">
    <w:abstractNumId w:val="6"/>
  </w:num>
  <w:num w:numId="3">
    <w:abstractNumId w:val="5"/>
  </w:num>
  <w:num w:numId="4">
    <w:abstractNumId w:val="2"/>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C4"/>
    <w:rsid w:val="000123C4"/>
    <w:rsid w:val="00013C02"/>
    <w:rsid w:val="00015365"/>
    <w:rsid w:val="000213E6"/>
    <w:rsid w:val="00021626"/>
    <w:rsid w:val="00031499"/>
    <w:rsid w:val="00034CE9"/>
    <w:rsid w:val="000405F2"/>
    <w:rsid w:val="000474B9"/>
    <w:rsid w:val="00050526"/>
    <w:rsid w:val="00051F32"/>
    <w:rsid w:val="00052F4E"/>
    <w:rsid w:val="00057A2B"/>
    <w:rsid w:val="0006208E"/>
    <w:rsid w:val="000636AE"/>
    <w:rsid w:val="00076A57"/>
    <w:rsid w:val="00081418"/>
    <w:rsid w:val="00091299"/>
    <w:rsid w:val="0009317F"/>
    <w:rsid w:val="00096DD4"/>
    <w:rsid w:val="000975D5"/>
    <w:rsid w:val="000B13C3"/>
    <w:rsid w:val="000B6B5E"/>
    <w:rsid w:val="000C167F"/>
    <w:rsid w:val="000C7526"/>
    <w:rsid w:val="000D1521"/>
    <w:rsid w:val="000D32DA"/>
    <w:rsid w:val="000D75F2"/>
    <w:rsid w:val="000E241C"/>
    <w:rsid w:val="000E62C2"/>
    <w:rsid w:val="000F4521"/>
    <w:rsid w:val="00103ADE"/>
    <w:rsid w:val="0010456A"/>
    <w:rsid w:val="001056F0"/>
    <w:rsid w:val="00117F96"/>
    <w:rsid w:val="001209C0"/>
    <w:rsid w:val="00121844"/>
    <w:rsid w:val="001223BD"/>
    <w:rsid w:val="00122C13"/>
    <w:rsid w:val="00124A35"/>
    <w:rsid w:val="00131F91"/>
    <w:rsid w:val="00134800"/>
    <w:rsid w:val="00140DCE"/>
    <w:rsid w:val="001434ED"/>
    <w:rsid w:val="00144567"/>
    <w:rsid w:val="00155432"/>
    <w:rsid w:val="0016054A"/>
    <w:rsid w:val="0016327C"/>
    <w:rsid w:val="001657B0"/>
    <w:rsid w:val="00166185"/>
    <w:rsid w:val="001725A5"/>
    <w:rsid w:val="001733CB"/>
    <w:rsid w:val="001761F3"/>
    <w:rsid w:val="001767EF"/>
    <w:rsid w:val="0018224E"/>
    <w:rsid w:val="00182E8A"/>
    <w:rsid w:val="00182F06"/>
    <w:rsid w:val="00184739"/>
    <w:rsid w:val="00184BBA"/>
    <w:rsid w:val="0018696E"/>
    <w:rsid w:val="00187352"/>
    <w:rsid w:val="00195CAD"/>
    <w:rsid w:val="001A287E"/>
    <w:rsid w:val="001A6CC4"/>
    <w:rsid w:val="001B1BDE"/>
    <w:rsid w:val="001B4D77"/>
    <w:rsid w:val="001C008F"/>
    <w:rsid w:val="001C2F2B"/>
    <w:rsid w:val="001C2F5B"/>
    <w:rsid w:val="001C3A2F"/>
    <w:rsid w:val="001C3AB7"/>
    <w:rsid w:val="001C3FDB"/>
    <w:rsid w:val="001C4957"/>
    <w:rsid w:val="001C5C08"/>
    <w:rsid w:val="001D0164"/>
    <w:rsid w:val="001D13CD"/>
    <w:rsid w:val="001D6FE9"/>
    <w:rsid w:val="001E2F10"/>
    <w:rsid w:val="001E372E"/>
    <w:rsid w:val="00203D0A"/>
    <w:rsid w:val="00204A27"/>
    <w:rsid w:val="002062F6"/>
    <w:rsid w:val="00211B65"/>
    <w:rsid w:val="002137B8"/>
    <w:rsid w:val="0021724F"/>
    <w:rsid w:val="0022066C"/>
    <w:rsid w:val="00230163"/>
    <w:rsid w:val="002303B3"/>
    <w:rsid w:val="00230BE6"/>
    <w:rsid w:val="00240066"/>
    <w:rsid w:val="002441A6"/>
    <w:rsid w:val="00245944"/>
    <w:rsid w:val="002476CA"/>
    <w:rsid w:val="002579B5"/>
    <w:rsid w:val="0028067C"/>
    <w:rsid w:val="00281D02"/>
    <w:rsid w:val="00283E79"/>
    <w:rsid w:val="00284C5F"/>
    <w:rsid w:val="00290FC3"/>
    <w:rsid w:val="00293339"/>
    <w:rsid w:val="002946DB"/>
    <w:rsid w:val="002A3AFA"/>
    <w:rsid w:val="002B56CF"/>
    <w:rsid w:val="002B6282"/>
    <w:rsid w:val="002C3279"/>
    <w:rsid w:val="002C559B"/>
    <w:rsid w:val="002D17C4"/>
    <w:rsid w:val="002D29DE"/>
    <w:rsid w:val="002D44BD"/>
    <w:rsid w:val="002D4B5A"/>
    <w:rsid w:val="002E524C"/>
    <w:rsid w:val="002F174D"/>
    <w:rsid w:val="002F478B"/>
    <w:rsid w:val="002F4BF9"/>
    <w:rsid w:val="003031C8"/>
    <w:rsid w:val="00305F95"/>
    <w:rsid w:val="00307433"/>
    <w:rsid w:val="00314FBC"/>
    <w:rsid w:val="00320923"/>
    <w:rsid w:val="00320A02"/>
    <w:rsid w:val="00321381"/>
    <w:rsid w:val="00334630"/>
    <w:rsid w:val="00335747"/>
    <w:rsid w:val="00336866"/>
    <w:rsid w:val="00341047"/>
    <w:rsid w:val="0034731E"/>
    <w:rsid w:val="00355D9F"/>
    <w:rsid w:val="00383BDD"/>
    <w:rsid w:val="00386D1F"/>
    <w:rsid w:val="003A67DB"/>
    <w:rsid w:val="003B3850"/>
    <w:rsid w:val="003B4735"/>
    <w:rsid w:val="003C0B79"/>
    <w:rsid w:val="003C39D6"/>
    <w:rsid w:val="003D52BF"/>
    <w:rsid w:val="003F109C"/>
    <w:rsid w:val="00401081"/>
    <w:rsid w:val="00407FA5"/>
    <w:rsid w:val="0041521C"/>
    <w:rsid w:val="00415B31"/>
    <w:rsid w:val="004359F6"/>
    <w:rsid w:val="00436255"/>
    <w:rsid w:val="0044033B"/>
    <w:rsid w:val="00441D29"/>
    <w:rsid w:val="00441E18"/>
    <w:rsid w:val="00444BF7"/>
    <w:rsid w:val="00447593"/>
    <w:rsid w:val="00447ADB"/>
    <w:rsid w:val="00452A5A"/>
    <w:rsid w:val="0046582D"/>
    <w:rsid w:val="004665A6"/>
    <w:rsid w:val="004719FD"/>
    <w:rsid w:val="00473493"/>
    <w:rsid w:val="00481682"/>
    <w:rsid w:val="00486913"/>
    <w:rsid w:val="00487CB9"/>
    <w:rsid w:val="00493C7D"/>
    <w:rsid w:val="00495BFA"/>
    <w:rsid w:val="0049636C"/>
    <w:rsid w:val="004971C4"/>
    <w:rsid w:val="004A19DB"/>
    <w:rsid w:val="004A1C52"/>
    <w:rsid w:val="004A3E1E"/>
    <w:rsid w:val="004A4612"/>
    <w:rsid w:val="004A5358"/>
    <w:rsid w:val="004A7F26"/>
    <w:rsid w:val="004B60A8"/>
    <w:rsid w:val="004B7B46"/>
    <w:rsid w:val="004C1216"/>
    <w:rsid w:val="004D1370"/>
    <w:rsid w:val="004D5075"/>
    <w:rsid w:val="004D6758"/>
    <w:rsid w:val="004E27D3"/>
    <w:rsid w:val="004E2E8D"/>
    <w:rsid w:val="004E6B64"/>
    <w:rsid w:val="004F0B85"/>
    <w:rsid w:val="004F17A7"/>
    <w:rsid w:val="004F200C"/>
    <w:rsid w:val="004F2E8A"/>
    <w:rsid w:val="004F65D1"/>
    <w:rsid w:val="0050138A"/>
    <w:rsid w:val="00515BE0"/>
    <w:rsid w:val="00521E48"/>
    <w:rsid w:val="00525CFD"/>
    <w:rsid w:val="0053245A"/>
    <w:rsid w:val="00547B85"/>
    <w:rsid w:val="00550F63"/>
    <w:rsid w:val="005601E5"/>
    <w:rsid w:val="005604C4"/>
    <w:rsid w:val="0056200D"/>
    <w:rsid w:val="005621B6"/>
    <w:rsid w:val="005760B7"/>
    <w:rsid w:val="00576846"/>
    <w:rsid w:val="00586808"/>
    <w:rsid w:val="00590056"/>
    <w:rsid w:val="00593D11"/>
    <w:rsid w:val="00596921"/>
    <w:rsid w:val="005A3591"/>
    <w:rsid w:val="005A37BB"/>
    <w:rsid w:val="005A7EA9"/>
    <w:rsid w:val="005B1813"/>
    <w:rsid w:val="005B59F2"/>
    <w:rsid w:val="005B5D32"/>
    <w:rsid w:val="005B620D"/>
    <w:rsid w:val="005C1250"/>
    <w:rsid w:val="005C1AB4"/>
    <w:rsid w:val="005C455A"/>
    <w:rsid w:val="005C5CDE"/>
    <w:rsid w:val="005C704D"/>
    <w:rsid w:val="005D0CE0"/>
    <w:rsid w:val="005D4FD6"/>
    <w:rsid w:val="005D5977"/>
    <w:rsid w:val="005D750E"/>
    <w:rsid w:val="005E39F8"/>
    <w:rsid w:val="005E50BA"/>
    <w:rsid w:val="005E586D"/>
    <w:rsid w:val="00607280"/>
    <w:rsid w:val="00616421"/>
    <w:rsid w:val="00620BBB"/>
    <w:rsid w:val="00621FFB"/>
    <w:rsid w:val="006242CD"/>
    <w:rsid w:val="006332BD"/>
    <w:rsid w:val="00642EB0"/>
    <w:rsid w:val="00646619"/>
    <w:rsid w:val="00647587"/>
    <w:rsid w:val="0065594D"/>
    <w:rsid w:val="00660F2F"/>
    <w:rsid w:val="00663780"/>
    <w:rsid w:val="006740B0"/>
    <w:rsid w:val="00674B72"/>
    <w:rsid w:val="0067575F"/>
    <w:rsid w:val="00681520"/>
    <w:rsid w:val="00683722"/>
    <w:rsid w:val="006846C5"/>
    <w:rsid w:val="006854D9"/>
    <w:rsid w:val="0069314E"/>
    <w:rsid w:val="006937D2"/>
    <w:rsid w:val="00696B23"/>
    <w:rsid w:val="006C193D"/>
    <w:rsid w:val="006C2F37"/>
    <w:rsid w:val="006C7A11"/>
    <w:rsid w:val="006D72F0"/>
    <w:rsid w:val="006F0717"/>
    <w:rsid w:val="006F0AA7"/>
    <w:rsid w:val="006F4DFD"/>
    <w:rsid w:val="006F4EDA"/>
    <w:rsid w:val="006F59DC"/>
    <w:rsid w:val="00710BBF"/>
    <w:rsid w:val="0071175D"/>
    <w:rsid w:val="00720410"/>
    <w:rsid w:val="00726E66"/>
    <w:rsid w:val="007312FF"/>
    <w:rsid w:val="00731E94"/>
    <w:rsid w:val="00742C9E"/>
    <w:rsid w:val="007431CC"/>
    <w:rsid w:val="0076452C"/>
    <w:rsid w:val="00770C8F"/>
    <w:rsid w:val="0077138B"/>
    <w:rsid w:val="00772C5F"/>
    <w:rsid w:val="007736DA"/>
    <w:rsid w:val="00777FBC"/>
    <w:rsid w:val="007835C1"/>
    <w:rsid w:val="007839A7"/>
    <w:rsid w:val="007905EC"/>
    <w:rsid w:val="00791461"/>
    <w:rsid w:val="00797F9E"/>
    <w:rsid w:val="007A7E87"/>
    <w:rsid w:val="007B64CB"/>
    <w:rsid w:val="007B690A"/>
    <w:rsid w:val="007C6951"/>
    <w:rsid w:val="007C6C17"/>
    <w:rsid w:val="007D3D6F"/>
    <w:rsid w:val="007D5DF2"/>
    <w:rsid w:val="007E1CFC"/>
    <w:rsid w:val="007E6D8A"/>
    <w:rsid w:val="007E76FE"/>
    <w:rsid w:val="007E7902"/>
    <w:rsid w:val="007F49FC"/>
    <w:rsid w:val="00803A97"/>
    <w:rsid w:val="00806C7D"/>
    <w:rsid w:val="00821A35"/>
    <w:rsid w:val="00821AAB"/>
    <w:rsid w:val="00823238"/>
    <w:rsid w:val="00825761"/>
    <w:rsid w:val="008358FC"/>
    <w:rsid w:val="00841AEC"/>
    <w:rsid w:val="00850AE7"/>
    <w:rsid w:val="008560A8"/>
    <w:rsid w:val="00857759"/>
    <w:rsid w:val="00866CE1"/>
    <w:rsid w:val="008730AA"/>
    <w:rsid w:val="00876C30"/>
    <w:rsid w:val="00886436"/>
    <w:rsid w:val="008871A9"/>
    <w:rsid w:val="0089103C"/>
    <w:rsid w:val="00897C97"/>
    <w:rsid w:val="008A11FB"/>
    <w:rsid w:val="008A2CF2"/>
    <w:rsid w:val="008A4DFE"/>
    <w:rsid w:val="008A685F"/>
    <w:rsid w:val="008B5525"/>
    <w:rsid w:val="008C28B4"/>
    <w:rsid w:val="008D13AB"/>
    <w:rsid w:val="008D1CBC"/>
    <w:rsid w:val="008D2A75"/>
    <w:rsid w:val="008E33A2"/>
    <w:rsid w:val="009047E4"/>
    <w:rsid w:val="00906648"/>
    <w:rsid w:val="00913C43"/>
    <w:rsid w:val="00913D30"/>
    <w:rsid w:val="00924D44"/>
    <w:rsid w:val="0092719C"/>
    <w:rsid w:val="009313FD"/>
    <w:rsid w:val="00931F8E"/>
    <w:rsid w:val="00934552"/>
    <w:rsid w:val="00942BC2"/>
    <w:rsid w:val="009531E6"/>
    <w:rsid w:val="009550B3"/>
    <w:rsid w:val="009629D6"/>
    <w:rsid w:val="009660A2"/>
    <w:rsid w:val="00967E70"/>
    <w:rsid w:val="00980A10"/>
    <w:rsid w:val="00984117"/>
    <w:rsid w:val="009856B6"/>
    <w:rsid w:val="00992C14"/>
    <w:rsid w:val="00992DD3"/>
    <w:rsid w:val="009A0378"/>
    <w:rsid w:val="009A54FC"/>
    <w:rsid w:val="009A63C7"/>
    <w:rsid w:val="009A6FAA"/>
    <w:rsid w:val="009B5AEF"/>
    <w:rsid w:val="009B6A2C"/>
    <w:rsid w:val="009C23B2"/>
    <w:rsid w:val="009C2A98"/>
    <w:rsid w:val="009C776F"/>
    <w:rsid w:val="009D224E"/>
    <w:rsid w:val="009E0CE6"/>
    <w:rsid w:val="009F08EB"/>
    <w:rsid w:val="009F0BE1"/>
    <w:rsid w:val="00A04A67"/>
    <w:rsid w:val="00A153A5"/>
    <w:rsid w:val="00A1781D"/>
    <w:rsid w:val="00A17BB1"/>
    <w:rsid w:val="00A17C9F"/>
    <w:rsid w:val="00A20515"/>
    <w:rsid w:val="00A2158B"/>
    <w:rsid w:val="00A32266"/>
    <w:rsid w:val="00A33AC6"/>
    <w:rsid w:val="00A36D36"/>
    <w:rsid w:val="00A45891"/>
    <w:rsid w:val="00A47EEB"/>
    <w:rsid w:val="00A55A32"/>
    <w:rsid w:val="00A66ECE"/>
    <w:rsid w:val="00A713C7"/>
    <w:rsid w:val="00A71D80"/>
    <w:rsid w:val="00A86149"/>
    <w:rsid w:val="00A87CB1"/>
    <w:rsid w:val="00AB1ACA"/>
    <w:rsid w:val="00AB39CE"/>
    <w:rsid w:val="00AC5FE1"/>
    <w:rsid w:val="00AC702F"/>
    <w:rsid w:val="00AD08FF"/>
    <w:rsid w:val="00AE033D"/>
    <w:rsid w:val="00AF395A"/>
    <w:rsid w:val="00AF6C83"/>
    <w:rsid w:val="00AF78BD"/>
    <w:rsid w:val="00B001FC"/>
    <w:rsid w:val="00B05FB8"/>
    <w:rsid w:val="00B13326"/>
    <w:rsid w:val="00B202BE"/>
    <w:rsid w:val="00B27198"/>
    <w:rsid w:val="00B274A8"/>
    <w:rsid w:val="00B4213B"/>
    <w:rsid w:val="00B42F19"/>
    <w:rsid w:val="00B431FC"/>
    <w:rsid w:val="00B541BC"/>
    <w:rsid w:val="00B55241"/>
    <w:rsid w:val="00B664E3"/>
    <w:rsid w:val="00B66C73"/>
    <w:rsid w:val="00B700C8"/>
    <w:rsid w:val="00B70E9D"/>
    <w:rsid w:val="00B713DF"/>
    <w:rsid w:val="00B8190F"/>
    <w:rsid w:val="00B83906"/>
    <w:rsid w:val="00B87AB1"/>
    <w:rsid w:val="00B87C37"/>
    <w:rsid w:val="00B9080B"/>
    <w:rsid w:val="00B9388C"/>
    <w:rsid w:val="00B93BF1"/>
    <w:rsid w:val="00B96122"/>
    <w:rsid w:val="00B96491"/>
    <w:rsid w:val="00BA1A7A"/>
    <w:rsid w:val="00BA5778"/>
    <w:rsid w:val="00BA79BC"/>
    <w:rsid w:val="00BB0845"/>
    <w:rsid w:val="00BB0BD0"/>
    <w:rsid w:val="00BB72CC"/>
    <w:rsid w:val="00BB794E"/>
    <w:rsid w:val="00BC0091"/>
    <w:rsid w:val="00BC1F6A"/>
    <w:rsid w:val="00BC2D70"/>
    <w:rsid w:val="00BC47DF"/>
    <w:rsid w:val="00BC623D"/>
    <w:rsid w:val="00BD010D"/>
    <w:rsid w:val="00BD64CA"/>
    <w:rsid w:val="00BE1045"/>
    <w:rsid w:val="00BE288B"/>
    <w:rsid w:val="00BF2AF2"/>
    <w:rsid w:val="00BF40BC"/>
    <w:rsid w:val="00BF47B0"/>
    <w:rsid w:val="00BF5D17"/>
    <w:rsid w:val="00BF5F00"/>
    <w:rsid w:val="00C0087B"/>
    <w:rsid w:val="00C026FB"/>
    <w:rsid w:val="00C04DFE"/>
    <w:rsid w:val="00C0619E"/>
    <w:rsid w:val="00C10CBC"/>
    <w:rsid w:val="00C20AE3"/>
    <w:rsid w:val="00C251A7"/>
    <w:rsid w:val="00C32AD8"/>
    <w:rsid w:val="00C32DBE"/>
    <w:rsid w:val="00C35528"/>
    <w:rsid w:val="00C3566B"/>
    <w:rsid w:val="00C3680C"/>
    <w:rsid w:val="00C37A0B"/>
    <w:rsid w:val="00C430C7"/>
    <w:rsid w:val="00C5098B"/>
    <w:rsid w:val="00C6167F"/>
    <w:rsid w:val="00C6178A"/>
    <w:rsid w:val="00C6178E"/>
    <w:rsid w:val="00C73FBC"/>
    <w:rsid w:val="00C8147A"/>
    <w:rsid w:val="00C9118C"/>
    <w:rsid w:val="00C96726"/>
    <w:rsid w:val="00CA2B82"/>
    <w:rsid w:val="00CB00A4"/>
    <w:rsid w:val="00CB1836"/>
    <w:rsid w:val="00CB71A1"/>
    <w:rsid w:val="00CD1834"/>
    <w:rsid w:val="00CD7B79"/>
    <w:rsid w:val="00CE05E1"/>
    <w:rsid w:val="00CE22EA"/>
    <w:rsid w:val="00CE657F"/>
    <w:rsid w:val="00CE7FD2"/>
    <w:rsid w:val="00D1001C"/>
    <w:rsid w:val="00D16D72"/>
    <w:rsid w:val="00D1791F"/>
    <w:rsid w:val="00D20F30"/>
    <w:rsid w:val="00D2535A"/>
    <w:rsid w:val="00D40301"/>
    <w:rsid w:val="00D42451"/>
    <w:rsid w:val="00D531D1"/>
    <w:rsid w:val="00D63047"/>
    <w:rsid w:val="00D6479B"/>
    <w:rsid w:val="00D6733E"/>
    <w:rsid w:val="00D81B9A"/>
    <w:rsid w:val="00D93A9F"/>
    <w:rsid w:val="00D941D5"/>
    <w:rsid w:val="00D9620E"/>
    <w:rsid w:val="00DA4299"/>
    <w:rsid w:val="00DA6EAF"/>
    <w:rsid w:val="00DA7421"/>
    <w:rsid w:val="00DB450C"/>
    <w:rsid w:val="00DB7A89"/>
    <w:rsid w:val="00DC3C83"/>
    <w:rsid w:val="00DC5A50"/>
    <w:rsid w:val="00DC752A"/>
    <w:rsid w:val="00DD2317"/>
    <w:rsid w:val="00DD6236"/>
    <w:rsid w:val="00DD6377"/>
    <w:rsid w:val="00DD77A2"/>
    <w:rsid w:val="00DF1A8F"/>
    <w:rsid w:val="00DF1E64"/>
    <w:rsid w:val="00DF430C"/>
    <w:rsid w:val="00DF46F8"/>
    <w:rsid w:val="00DF5848"/>
    <w:rsid w:val="00E010B1"/>
    <w:rsid w:val="00E01468"/>
    <w:rsid w:val="00E0186A"/>
    <w:rsid w:val="00E01DC4"/>
    <w:rsid w:val="00E057C0"/>
    <w:rsid w:val="00E06ED6"/>
    <w:rsid w:val="00E11DA6"/>
    <w:rsid w:val="00E1435C"/>
    <w:rsid w:val="00E17399"/>
    <w:rsid w:val="00E25848"/>
    <w:rsid w:val="00E272CC"/>
    <w:rsid w:val="00E301AF"/>
    <w:rsid w:val="00E30CF8"/>
    <w:rsid w:val="00E3648D"/>
    <w:rsid w:val="00E4230F"/>
    <w:rsid w:val="00E454D6"/>
    <w:rsid w:val="00E46322"/>
    <w:rsid w:val="00E46B7B"/>
    <w:rsid w:val="00E50C60"/>
    <w:rsid w:val="00E54A4B"/>
    <w:rsid w:val="00E61AAF"/>
    <w:rsid w:val="00E636FB"/>
    <w:rsid w:val="00E656D1"/>
    <w:rsid w:val="00E67FD1"/>
    <w:rsid w:val="00E75C8D"/>
    <w:rsid w:val="00E75D3D"/>
    <w:rsid w:val="00E75F9D"/>
    <w:rsid w:val="00E8252C"/>
    <w:rsid w:val="00E82945"/>
    <w:rsid w:val="00E95D1D"/>
    <w:rsid w:val="00EA02EB"/>
    <w:rsid w:val="00EA1BDA"/>
    <w:rsid w:val="00EB4B53"/>
    <w:rsid w:val="00EC4A45"/>
    <w:rsid w:val="00EC4C8C"/>
    <w:rsid w:val="00ED2B96"/>
    <w:rsid w:val="00ED6278"/>
    <w:rsid w:val="00ED7D38"/>
    <w:rsid w:val="00ED7F66"/>
    <w:rsid w:val="00EE226E"/>
    <w:rsid w:val="00EE3C72"/>
    <w:rsid w:val="00EF2CCE"/>
    <w:rsid w:val="00EF62EC"/>
    <w:rsid w:val="00F02149"/>
    <w:rsid w:val="00F03353"/>
    <w:rsid w:val="00F07E3A"/>
    <w:rsid w:val="00F108EA"/>
    <w:rsid w:val="00F20447"/>
    <w:rsid w:val="00F21F4B"/>
    <w:rsid w:val="00F225D4"/>
    <w:rsid w:val="00F32B4C"/>
    <w:rsid w:val="00F32D88"/>
    <w:rsid w:val="00F46ED3"/>
    <w:rsid w:val="00F47671"/>
    <w:rsid w:val="00F61AC1"/>
    <w:rsid w:val="00F62672"/>
    <w:rsid w:val="00F80BA6"/>
    <w:rsid w:val="00F83F98"/>
    <w:rsid w:val="00F8422F"/>
    <w:rsid w:val="00F858C8"/>
    <w:rsid w:val="00F8706D"/>
    <w:rsid w:val="00F8762F"/>
    <w:rsid w:val="00F90CEF"/>
    <w:rsid w:val="00F95113"/>
    <w:rsid w:val="00FA0731"/>
    <w:rsid w:val="00FA1402"/>
    <w:rsid w:val="00FA46BD"/>
    <w:rsid w:val="00FB06D1"/>
    <w:rsid w:val="00FB35F2"/>
    <w:rsid w:val="00FB4152"/>
    <w:rsid w:val="00FB6983"/>
    <w:rsid w:val="00FB793D"/>
    <w:rsid w:val="00FC468A"/>
    <w:rsid w:val="00FC71C3"/>
    <w:rsid w:val="00FC7825"/>
    <w:rsid w:val="00FD169B"/>
    <w:rsid w:val="00FD192E"/>
    <w:rsid w:val="00FD5E93"/>
    <w:rsid w:val="00FE178C"/>
    <w:rsid w:val="00FE5518"/>
    <w:rsid w:val="00FF31CE"/>
    <w:rsid w:val="00FF709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62667"/>
  <w15:docId w15:val="{B6F60B8D-EC56-4E59-99A1-CF474F4CD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0447"/>
    <w:rPr>
      <w:sz w:val="20"/>
    </w:rPr>
  </w:style>
  <w:style w:type="paragraph" w:styleId="Heading1">
    <w:name w:val="heading 1"/>
    <w:basedOn w:val="Normal"/>
    <w:next w:val="Normal"/>
    <w:link w:val="Heading1Char"/>
    <w:uiPriority w:val="9"/>
    <w:qFormat/>
    <w:rsid w:val="000123C4"/>
    <w:pPr>
      <w:keepNext/>
      <w:keepLines/>
      <w:spacing w:before="240" w:after="240"/>
      <w:jc w:val="center"/>
      <w:outlineLvl w:val="0"/>
    </w:pPr>
    <w:rPr>
      <w:rFonts w:ascii="Calibri" w:eastAsiaTheme="majorEastAsia" w:hAnsi="Calibri" w:cstheme="majorBidi"/>
      <w:b/>
      <w:sz w:val="28"/>
      <w:szCs w:val="32"/>
    </w:rPr>
  </w:style>
  <w:style w:type="paragraph" w:styleId="Heading2">
    <w:name w:val="heading 2"/>
    <w:basedOn w:val="Normal"/>
    <w:next w:val="Normal"/>
    <w:link w:val="Heading2Char"/>
    <w:uiPriority w:val="9"/>
    <w:unhideWhenUsed/>
    <w:qFormat/>
    <w:rsid w:val="000123C4"/>
    <w:pPr>
      <w:keepNext/>
      <w:keepLines/>
      <w:spacing w:before="240" w:after="120"/>
      <w:outlineLvl w:val="1"/>
    </w:pPr>
    <w:rPr>
      <w:rFonts w:ascii="Calibri" w:eastAsiaTheme="majorEastAsia" w:hAnsi="Calibri" w:cstheme="majorBidi"/>
      <w:b/>
      <w:sz w:val="24"/>
      <w:szCs w:val="26"/>
    </w:rPr>
  </w:style>
  <w:style w:type="paragraph" w:styleId="Heading5">
    <w:name w:val="heading 5"/>
    <w:basedOn w:val="Normal"/>
    <w:next w:val="Normal"/>
    <w:link w:val="Heading5Char"/>
    <w:uiPriority w:val="9"/>
    <w:semiHidden/>
    <w:unhideWhenUsed/>
    <w:qFormat/>
    <w:rsid w:val="00E11DA6"/>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E11DA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23C4"/>
    <w:rPr>
      <w:rFonts w:ascii="Calibri" w:eastAsiaTheme="majorEastAsia" w:hAnsi="Calibri" w:cstheme="majorBidi"/>
      <w:b/>
      <w:sz w:val="28"/>
      <w:szCs w:val="32"/>
    </w:rPr>
  </w:style>
  <w:style w:type="character" w:customStyle="1" w:styleId="Heading2Char">
    <w:name w:val="Heading 2 Char"/>
    <w:basedOn w:val="DefaultParagraphFont"/>
    <w:link w:val="Heading2"/>
    <w:uiPriority w:val="9"/>
    <w:rsid w:val="000123C4"/>
    <w:rPr>
      <w:rFonts w:ascii="Calibri" w:eastAsiaTheme="majorEastAsia" w:hAnsi="Calibri" w:cstheme="majorBidi"/>
      <w:b/>
      <w:sz w:val="24"/>
      <w:szCs w:val="26"/>
    </w:rPr>
  </w:style>
  <w:style w:type="paragraph" w:styleId="FootnoteText">
    <w:name w:val="footnote text"/>
    <w:basedOn w:val="Normal"/>
    <w:link w:val="FootnoteTextChar"/>
    <w:uiPriority w:val="99"/>
    <w:semiHidden/>
    <w:unhideWhenUsed/>
    <w:rsid w:val="000123C4"/>
    <w:pPr>
      <w:spacing w:after="0" w:line="240" w:lineRule="auto"/>
      <w:jc w:val="both"/>
    </w:pPr>
    <w:rPr>
      <w:szCs w:val="20"/>
    </w:rPr>
  </w:style>
  <w:style w:type="character" w:customStyle="1" w:styleId="FootnoteTextChar">
    <w:name w:val="Footnote Text Char"/>
    <w:basedOn w:val="DefaultParagraphFont"/>
    <w:link w:val="FootnoteText"/>
    <w:uiPriority w:val="99"/>
    <w:semiHidden/>
    <w:rsid w:val="000123C4"/>
    <w:rPr>
      <w:sz w:val="20"/>
      <w:szCs w:val="20"/>
    </w:rPr>
  </w:style>
  <w:style w:type="character" w:styleId="FootnoteReference">
    <w:name w:val="footnote reference"/>
    <w:basedOn w:val="DefaultParagraphFont"/>
    <w:uiPriority w:val="99"/>
    <w:semiHidden/>
    <w:unhideWhenUsed/>
    <w:rsid w:val="000123C4"/>
    <w:rPr>
      <w:vertAlign w:val="superscript"/>
    </w:rPr>
  </w:style>
  <w:style w:type="table" w:styleId="TableGrid">
    <w:name w:val="Table Grid"/>
    <w:basedOn w:val="TableNormal"/>
    <w:uiPriority w:val="39"/>
    <w:rsid w:val="00F90C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C5A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5A50"/>
  </w:style>
  <w:style w:type="paragraph" w:styleId="Footer">
    <w:name w:val="footer"/>
    <w:basedOn w:val="Normal"/>
    <w:link w:val="FooterChar"/>
    <w:uiPriority w:val="99"/>
    <w:unhideWhenUsed/>
    <w:rsid w:val="00DC5A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5A50"/>
  </w:style>
  <w:style w:type="character" w:styleId="PlaceholderText">
    <w:name w:val="Placeholder Text"/>
    <w:basedOn w:val="DefaultParagraphFont"/>
    <w:uiPriority w:val="99"/>
    <w:semiHidden/>
    <w:rsid w:val="00F21F4B"/>
    <w:rPr>
      <w:color w:val="808080"/>
    </w:rPr>
  </w:style>
  <w:style w:type="character" w:styleId="CommentReference">
    <w:name w:val="annotation reference"/>
    <w:basedOn w:val="DefaultParagraphFont"/>
    <w:uiPriority w:val="99"/>
    <w:semiHidden/>
    <w:unhideWhenUsed/>
    <w:rsid w:val="005760B7"/>
    <w:rPr>
      <w:sz w:val="16"/>
      <w:szCs w:val="16"/>
    </w:rPr>
  </w:style>
  <w:style w:type="paragraph" w:styleId="CommentText">
    <w:name w:val="annotation text"/>
    <w:basedOn w:val="Normal"/>
    <w:link w:val="CommentTextChar"/>
    <w:uiPriority w:val="99"/>
    <w:semiHidden/>
    <w:unhideWhenUsed/>
    <w:rsid w:val="005760B7"/>
    <w:pPr>
      <w:spacing w:line="240" w:lineRule="auto"/>
    </w:pPr>
    <w:rPr>
      <w:szCs w:val="20"/>
    </w:rPr>
  </w:style>
  <w:style w:type="character" w:customStyle="1" w:styleId="CommentTextChar">
    <w:name w:val="Comment Text Char"/>
    <w:basedOn w:val="DefaultParagraphFont"/>
    <w:link w:val="CommentText"/>
    <w:uiPriority w:val="99"/>
    <w:semiHidden/>
    <w:rsid w:val="005760B7"/>
    <w:rPr>
      <w:sz w:val="20"/>
      <w:szCs w:val="20"/>
    </w:rPr>
  </w:style>
  <w:style w:type="paragraph" w:styleId="CommentSubject">
    <w:name w:val="annotation subject"/>
    <w:basedOn w:val="CommentText"/>
    <w:next w:val="CommentText"/>
    <w:link w:val="CommentSubjectChar"/>
    <w:uiPriority w:val="99"/>
    <w:semiHidden/>
    <w:unhideWhenUsed/>
    <w:rsid w:val="005760B7"/>
    <w:rPr>
      <w:b/>
      <w:bCs/>
    </w:rPr>
  </w:style>
  <w:style w:type="character" w:customStyle="1" w:styleId="CommentSubjectChar">
    <w:name w:val="Comment Subject Char"/>
    <w:basedOn w:val="CommentTextChar"/>
    <w:link w:val="CommentSubject"/>
    <w:uiPriority w:val="99"/>
    <w:semiHidden/>
    <w:rsid w:val="005760B7"/>
    <w:rPr>
      <w:b/>
      <w:bCs/>
      <w:sz w:val="20"/>
      <w:szCs w:val="20"/>
    </w:rPr>
  </w:style>
  <w:style w:type="paragraph" w:styleId="BalloonText">
    <w:name w:val="Balloon Text"/>
    <w:basedOn w:val="Normal"/>
    <w:link w:val="BalloonTextChar"/>
    <w:uiPriority w:val="99"/>
    <w:semiHidden/>
    <w:unhideWhenUsed/>
    <w:rsid w:val="005760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60B7"/>
    <w:rPr>
      <w:rFonts w:ascii="Segoe UI" w:hAnsi="Segoe UI" w:cs="Segoe UI"/>
      <w:sz w:val="18"/>
      <w:szCs w:val="18"/>
    </w:rPr>
  </w:style>
  <w:style w:type="paragraph" w:styleId="ListParagraph">
    <w:name w:val="List Paragraph"/>
    <w:basedOn w:val="Normal"/>
    <w:link w:val="ListParagraphChar"/>
    <w:uiPriority w:val="34"/>
    <w:qFormat/>
    <w:rsid w:val="00A713C7"/>
    <w:pPr>
      <w:ind w:left="720"/>
      <w:contextualSpacing/>
    </w:pPr>
  </w:style>
  <w:style w:type="character" w:customStyle="1" w:styleId="Heading5Char">
    <w:name w:val="Heading 5 Char"/>
    <w:basedOn w:val="DefaultParagraphFont"/>
    <w:link w:val="Heading5"/>
    <w:uiPriority w:val="9"/>
    <w:semiHidden/>
    <w:rsid w:val="00E11DA6"/>
    <w:rPr>
      <w:rFonts w:asciiTheme="majorHAnsi" w:eastAsiaTheme="majorEastAsia" w:hAnsiTheme="majorHAnsi" w:cstheme="majorBidi"/>
      <w:color w:val="2F5496" w:themeColor="accent1" w:themeShade="BF"/>
      <w:sz w:val="20"/>
    </w:rPr>
  </w:style>
  <w:style w:type="character" w:customStyle="1" w:styleId="Heading6Char">
    <w:name w:val="Heading 6 Char"/>
    <w:basedOn w:val="DefaultParagraphFont"/>
    <w:link w:val="Heading6"/>
    <w:uiPriority w:val="9"/>
    <w:semiHidden/>
    <w:rsid w:val="00E11DA6"/>
    <w:rPr>
      <w:rFonts w:asciiTheme="majorHAnsi" w:eastAsiaTheme="majorEastAsia" w:hAnsiTheme="majorHAnsi" w:cstheme="majorBidi"/>
      <w:color w:val="1F3763" w:themeColor="accent1" w:themeShade="7F"/>
      <w:sz w:val="20"/>
    </w:rPr>
  </w:style>
  <w:style w:type="paragraph" w:customStyle="1" w:styleId="Style1">
    <w:name w:val="Style1"/>
    <w:basedOn w:val="ListParagraph"/>
    <w:link w:val="Style1Char"/>
    <w:qFormat/>
    <w:rsid w:val="00770C8F"/>
    <w:pPr>
      <w:spacing w:before="120" w:after="80"/>
      <w:ind w:left="0"/>
      <w:jc w:val="both"/>
    </w:pPr>
    <w:rPr>
      <w:i/>
      <w:u w:val="single"/>
    </w:rPr>
  </w:style>
  <w:style w:type="character" w:customStyle="1" w:styleId="ListParagraphChar">
    <w:name w:val="List Paragraph Char"/>
    <w:basedOn w:val="DefaultParagraphFont"/>
    <w:link w:val="ListParagraph"/>
    <w:uiPriority w:val="34"/>
    <w:rsid w:val="00616421"/>
    <w:rPr>
      <w:sz w:val="20"/>
    </w:rPr>
  </w:style>
  <w:style w:type="character" w:customStyle="1" w:styleId="Style1Char">
    <w:name w:val="Style1 Char"/>
    <w:basedOn w:val="ListParagraphChar"/>
    <w:link w:val="Style1"/>
    <w:rsid w:val="00770C8F"/>
    <w:rPr>
      <w:i/>
      <w:sz w:val="20"/>
      <w:u w:val="single"/>
    </w:rPr>
  </w:style>
  <w:style w:type="character" w:styleId="Emphasis">
    <w:name w:val="Emphasis"/>
    <w:basedOn w:val="DefaultParagraphFont"/>
    <w:uiPriority w:val="20"/>
    <w:qFormat/>
    <w:rsid w:val="005604C4"/>
    <w:rPr>
      <w:i/>
      <w:iCs/>
    </w:rPr>
  </w:style>
  <w:style w:type="character" w:styleId="Hyperlink">
    <w:name w:val="Hyperlink"/>
    <w:basedOn w:val="DefaultParagraphFont"/>
    <w:uiPriority w:val="99"/>
    <w:semiHidden/>
    <w:unhideWhenUsed/>
    <w:rsid w:val="005604C4"/>
    <w:rPr>
      <w:color w:val="0000FF"/>
      <w:u w:val="single"/>
    </w:rPr>
  </w:style>
  <w:style w:type="paragraph" w:customStyle="1" w:styleId="Style2">
    <w:name w:val="Style2"/>
    <w:basedOn w:val="Normal"/>
    <w:link w:val="Style2Char"/>
    <w:qFormat/>
    <w:rsid w:val="008D13AB"/>
    <w:pPr>
      <w:ind w:left="397"/>
      <w:jc w:val="both"/>
    </w:pPr>
  </w:style>
  <w:style w:type="character" w:customStyle="1" w:styleId="Style2Char">
    <w:name w:val="Style2 Char"/>
    <w:basedOn w:val="DefaultParagraphFont"/>
    <w:link w:val="Style2"/>
    <w:rsid w:val="008D13AB"/>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733398">
      <w:bodyDiv w:val="1"/>
      <w:marLeft w:val="0"/>
      <w:marRight w:val="0"/>
      <w:marTop w:val="0"/>
      <w:marBottom w:val="0"/>
      <w:divBdr>
        <w:top w:val="none" w:sz="0" w:space="0" w:color="auto"/>
        <w:left w:val="none" w:sz="0" w:space="0" w:color="auto"/>
        <w:bottom w:val="none" w:sz="0" w:space="0" w:color="auto"/>
        <w:right w:val="none" w:sz="0" w:space="0" w:color="auto"/>
      </w:divBdr>
    </w:div>
    <w:div w:id="117141784">
      <w:bodyDiv w:val="1"/>
      <w:marLeft w:val="0"/>
      <w:marRight w:val="0"/>
      <w:marTop w:val="0"/>
      <w:marBottom w:val="0"/>
      <w:divBdr>
        <w:top w:val="none" w:sz="0" w:space="0" w:color="auto"/>
        <w:left w:val="none" w:sz="0" w:space="0" w:color="auto"/>
        <w:bottom w:val="none" w:sz="0" w:space="0" w:color="auto"/>
        <w:right w:val="none" w:sz="0" w:space="0" w:color="auto"/>
      </w:divBdr>
    </w:div>
    <w:div w:id="144051627">
      <w:bodyDiv w:val="1"/>
      <w:marLeft w:val="0"/>
      <w:marRight w:val="0"/>
      <w:marTop w:val="0"/>
      <w:marBottom w:val="0"/>
      <w:divBdr>
        <w:top w:val="none" w:sz="0" w:space="0" w:color="auto"/>
        <w:left w:val="none" w:sz="0" w:space="0" w:color="auto"/>
        <w:bottom w:val="none" w:sz="0" w:space="0" w:color="auto"/>
        <w:right w:val="none" w:sz="0" w:space="0" w:color="auto"/>
      </w:divBdr>
    </w:div>
    <w:div w:id="248469358">
      <w:bodyDiv w:val="1"/>
      <w:marLeft w:val="0"/>
      <w:marRight w:val="0"/>
      <w:marTop w:val="0"/>
      <w:marBottom w:val="0"/>
      <w:divBdr>
        <w:top w:val="none" w:sz="0" w:space="0" w:color="auto"/>
        <w:left w:val="none" w:sz="0" w:space="0" w:color="auto"/>
        <w:bottom w:val="none" w:sz="0" w:space="0" w:color="auto"/>
        <w:right w:val="none" w:sz="0" w:space="0" w:color="auto"/>
      </w:divBdr>
    </w:div>
    <w:div w:id="441650698">
      <w:bodyDiv w:val="1"/>
      <w:marLeft w:val="0"/>
      <w:marRight w:val="0"/>
      <w:marTop w:val="0"/>
      <w:marBottom w:val="0"/>
      <w:divBdr>
        <w:top w:val="none" w:sz="0" w:space="0" w:color="auto"/>
        <w:left w:val="none" w:sz="0" w:space="0" w:color="auto"/>
        <w:bottom w:val="none" w:sz="0" w:space="0" w:color="auto"/>
        <w:right w:val="none" w:sz="0" w:space="0" w:color="auto"/>
      </w:divBdr>
    </w:div>
    <w:div w:id="443886893">
      <w:bodyDiv w:val="1"/>
      <w:marLeft w:val="0"/>
      <w:marRight w:val="0"/>
      <w:marTop w:val="0"/>
      <w:marBottom w:val="0"/>
      <w:divBdr>
        <w:top w:val="none" w:sz="0" w:space="0" w:color="auto"/>
        <w:left w:val="none" w:sz="0" w:space="0" w:color="auto"/>
        <w:bottom w:val="none" w:sz="0" w:space="0" w:color="auto"/>
        <w:right w:val="none" w:sz="0" w:space="0" w:color="auto"/>
      </w:divBdr>
    </w:div>
    <w:div w:id="672991873">
      <w:bodyDiv w:val="1"/>
      <w:marLeft w:val="0"/>
      <w:marRight w:val="0"/>
      <w:marTop w:val="0"/>
      <w:marBottom w:val="0"/>
      <w:divBdr>
        <w:top w:val="none" w:sz="0" w:space="0" w:color="auto"/>
        <w:left w:val="none" w:sz="0" w:space="0" w:color="auto"/>
        <w:bottom w:val="none" w:sz="0" w:space="0" w:color="auto"/>
        <w:right w:val="none" w:sz="0" w:space="0" w:color="auto"/>
      </w:divBdr>
    </w:div>
    <w:div w:id="726996552">
      <w:bodyDiv w:val="1"/>
      <w:marLeft w:val="0"/>
      <w:marRight w:val="0"/>
      <w:marTop w:val="0"/>
      <w:marBottom w:val="0"/>
      <w:divBdr>
        <w:top w:val="none" w:sz="0" w:space="0" w:color="auto"/>
        <w:left w:val="none" w:sz="0" w:space="0" w:color="auto"/>
        <w:bottom w:val="none" w:sz="0" w:space="0" w:color="auto"/>
        <w:right w:val="none" w:sz="0" w:space="0" w:color="auto"/>
      </w:divBdr>
    </w:div>
    <w:div w:id="763651114">
      <w:bodyDiv w:val="1"/>
      <w:marLeft w:val="0"/>
      <w:marRight w:val="0"/>
      <w:marTop w:val="0"/>
      <w:marBottom w:val="0"/>
      <w:divBdr>
        <w:top w:val="none" w:sz="0" w:space="0" w:color="auto"/>
        <w:left w:val="none" w:sz="0" w:space="0" w:color="auto"/>
        <w:bottom w:val="none" w:sz="0" w:space="0" w:color="auto"/>
        <w:right w:val="none" w:sz="0" w:space="0" w:color="auto"/>
      </w:divBdr>
    </w:div>
    <w:div w:id="822044992">
      <w:bodyDiv w:val="1"/>
      <w:marLeft w:val="0"/>
      <w:marRight w:val="0"/>
      <w:marTop w:val="0"/>
      <w:marBottom w:val="0"/>
      <w:divBdr>
        <w:top w:val="none" w:sz="0" w:space="0" w:color="auto"/>
        <w:left w:val="none" w:sz="0" w:space="0" w:color="auto"/>
        <w:bottom w:val="none" w:sz="0" w:space="0" w:color="auto"/>
        <w:right w:val="none" w:sz="0" w:space="0" w:color="auto"/>
      </w:divBdr>
    </w:div>
    <w:div w:id="850265289">
      <w:bodyDiv w:val="1"/>
      <w:marLeft w:val="0"/>
      <w:marRight w:val="0"/>
      <w:marTop w:val="0"/>
      <w:marBottom w:val="0"/>
      <w:divBdr>
        <w:top w:val="none" w:sz="0" w:space="0" w:color="auto"/>
        <w:left w:val="none" w:sz="0" w:space="0" w:color="auto"/>
        <w:bottom w:val="none" w:sz="0" w:space="0" w:color="auto"/>
        <w:right w:val="none" w:sz="0" w:space="0" w:color="auto"/>
      </w:divBdr>
    </w:div>
    <w:div w:id="855075337">
      <w:bodyDiv w:val="1"/>
      <w:marLeft w:val="0"/>
      <w:marRight w:val="0"/>
      <w:marTop w:val="0"/>
      <w:marBottom w:val="0"/>
      <w:divBdr>
        <w:top w:val="none" w:sz="0" w:space="0" w:color="auto"/>
        <w:left w:val="none" w:sz="0" w:space="0" w:color="auto"/>
        <w:bottom w:val="none" w:sz="0" w:space="0" w:color="auto"/>
        <w:right w:val="none" w:sz="0" w:space="0" w:color="auto"/>
      </w:divBdr>
    </w:div>
    <w:div w:id="879437663">
      <w:bodyDiv w:val="1"/>
      <w:marLeft w:val="0"/>
      <w:marRight w:val="0"/>
      <w:marTop w:val="0"/>
      <w:marBottom w:val="0"/>
      <w:divBdr>
        <w:top w:val="none" w:sz="0" w:space="0" w:color="auto"/>
        <w:left w:val="none" w:sz="0" w:space="0" w:color="auto"/>
        <w:bottom w:val="none" w:sz="0" w:space="0" w:color="auto"/>
        <w:right w:val="none" w:sz="0" w:space="0" w:color="auto"/>
      </w:divBdr>
    </w:div>
    <w:div w:id="1042091778">
      <w:bodyDiv w:val="1"/>
      <w:marLeft w:val="0"/>
      <w:marRight w:val="0"/>
      <w:marTop w:val="0"/>
      <w:marBottom w:val="0"/>
      <w:divBdr>
        <w:top w:val="none" w:sz="0" w:space="0" w:color="auto"/>
        <w:left w:val="none" w:sz="0" w:space="0" w:color="auto"/>
        <w:bottom w:val="none" w:sz="0" w:space="0" w:color="auto"/>
        <w:right w:val="none" w:sz="0" w:space="0" w:color="auto"/>
      </w:divBdr>
    </w:div>
    <w:div w:id="1045325188">
      <w:bodyDiv w:val="1"/>
      <w:marLeft w:val="0"/>
      <w:marRight w:val="0"/>
      <w:marTop w:val="0"/>
      <w:marBottom w:val="0"/>
      <w:divBdr>
        <w:top w:val="none" w:sz="0" w:space="0" w:color="auto"/>
        <w:left w:val="none" w:sz="0" w:space="0" w:color="auto"/>
        <w:bottom w:val="none" w:sz="0" w:space="0" w:color="auto"/>
        <w:right w:val="none" w:sz="0" w:space="0" w:color="auto"/>
      </w:divBdr>
    </w:div>
    <w:div w:id="1078941708">
      <w:bodyDiv w:val="1"/>
      <w:marLeft w:val="0"/>
      <w:marRight w:val="0"/>
      <w:marTop w:val="0"/>
      <w:marBottom w:val="0"/>
      <w:divBdr>
        <w:top w:val="none" w:sz="0" w:space="0" w:color="auto"/>
        <w:left w:val="none" w:sz="0" w:space="0" w:color="auto"/>
        <w:bottom w:val="none" w:sz="0" w:space="0" w:color="auto"/>
        <w:right w:val="none" w:sz="0" w:space="0" w:color="auto"/>
      </w:divBdr>
    </w:div>
    <w:div w:id="1100293842">
      <w:bodyDiv w:val="1"/>
      <w:marLeft w:val="0"/>
      <w:marRight w:val="0"/>
      <w:marTop w:val="0"/>
      <w:marBottom w:val="0"/>
      <w:divBdr>
        <w:top w:val="none" w:sz="0" w:space="0" w:color="auto"/>
        <w:left w:val="none" w:sz="0" w:space="0" w:color="auto"/>
        <w:bottom w:val="none" w:sz="0" w:space="0" w:color="auto"/>
        <w:right w:val="none" w:sz="0" w:space="0" w:color="auto"/>
      </w:divBdr>
    </w:div>
    <w:div w:id="1296376055">
      <w:bodyDiv w:val="1"/>
      <w:marLeft w:val="0"/>
      <w:marRight w:val="0"/>
      <w:marTop w:val="0"/>
      <w:marBottom w:val="0"/>
      <w:divBdr>
        <w:top w:val="none" w:sz="0" w:space="0" w:color="auto"/>
        <w:left w:val="none" w:sz="0" w:space="0" w:color="auto"/>
        <w:bottom w:val="none" w:sz="0" w:space="0" w:color="auto"/>
        <w:right w:val="none" w:sz="0" w:space="0" w:color="auto"/>
      </w:divBdr>
    </w:div>
    <w:div w:id="1394541223">
      <w:bodyDiv w:val="1"/>
      <w:marLeft w:val="0"/>
      <w:marRight w:val="0"/>
      <w:marTop w:val="0"/>
      <w:marBottom w:val="0"/>
      <w:divBdr>
        <w:top w:val="none" w:sz="0" w:space="0" w:color="auto"/>
        <w:left w:val="none" w:sz="0" w:space="0" w:color="auto"/>
        <w:bottom w:val="none" w:sz="0" w:space="0" w:color="auto"/>
        <w:right w:val="none" w:sz="0" w:space="0" w:color="auto"/>
      </w:divBdr>
    </w:div>
    <w:div w:id="1448502330">
      <w:bodyDiv w:val="1"/>
      <w:marLeft w:val="0"/>
      <w:marRight w:val="0"/>
      <w:marTop w:val="0"/>
      <w:marBottom w:val="0"/>
      <w:divBdr>
        <w:top w:val="none" w:sz="0" w:space="0" w:color="auto"/>
        <w:left w:val="none" w:sz="0" w:space="0" w:color="auto"/>
        <w:bottom w:val="none" w:sz="0" w:space="0" w:color="auto"/>
        <w:right w:val="none" w:sz="0" w:space="0" w:color="auto"/>
      </w:divBdr>
    </w:div>
    <w:div w:id="1458330737">
      <w:bodyDiv w:val="1"/>
      <w:marLeft w:val="0"/>
      <w:marRight w:val="0"/>
      <w:marTop w:val="0"/>
      <w:marBottom w:val="0"/>
      <w:divBdr>
        <w:top w:val="none" w:sz="0" w:space="0" w:color="auto"/>
        <w:left w:val="none" w:sz="0" w:space="0" w:color="auto"/>
        <w:bottom w:val="none" w:sz="0" w:space="0" w:color="auto"/>
        <w:right w:val="none" w:sz="0" w:space="0" w:color="auto"/>
      </w:divBdr>
    </w:div>
    <w:div w:id="1542396355">
      <w:bodyDiv w:val="1"/>
      <w:marLeft w:val="0"/>
      <w:marRight w:val="0"/>
      <w:marTop w:val="0"/>
      <w:marBottom w:val="0"/>
      <w:divBdr>
        <w:top w:val="none" w:sz="0" w:space="0" w:color="auto"/>
        <w:left w:val="none" w:sz="0" w:space="0" w:color="auto"/>
        <w:bottom w:val="none" w:sz="0" w:space="0" w:color="auto"/>
        <w:right w:val="none" w:sz="0" w:space="0" w:color="auto"/>
      </w:divBdr>
    </w:div>
    <w:div w:id="1653371057">
      <w:bodyDiv w:val="1"/>
      <w:marLeft w:val="0"/>
      <w:marRight w:val="0"/>
      <w:marTop w:val="0"/>
      <w:marBottom w:val="0"/>
      <w:divBdr>
        <w:top w:val="none" w:sz="0" w:space="0" w:color="auto"/>
        <w:left w:val="none" w:sz="0" w:space="0" w:color="auto"/>
        <w:bottom w:val="none" w:sz="0" w:space="0" w:color="auto"/>
        <w:right w:val="none" w:sz="0" w:space="0" w:color="auto"/>
      </w:divBdr>
    </w:div>
    <w:div w:id="1683579782">
      <w:bodyDiv w:val="1"/>
      <w:marLeft w:val="0"/>
      <w:marRight w:val="0"/>
      <w:marTop w:val="0"/>
      <w:marBottom w:val="0"/>
      <w:divBdr>
        <w:top w:val="none" w:sz="0" w:space="0" w:color="auto"/>
        <w:left w:val="none" w:sz="0" w:space="0" w:color="auto"/>
        <w:bottom w:val="none" w:sz="0" w:space="0" w:color="auto"/>
        <w:right w:val="none" w:sz="0" w:space="0" w:color="auto"/>
      </w:divBdr>
    </w:div>
    <w:div w:id="2025665238">
      <w:bodyDiv w:val="1"/>
      <w:marLeft w:val="0"/>
      <w:marRight w:val="0"/>
      <w:marTop w:val="0"/>
      <w:marBottom w:val="0"/>
      <w:divBdr>
        <w:top w:val="none" w:sz="0" w:space="0" w:color="auto"/>
        <w:left w:val="none" w:sz="0" w:space="0" w:color="auto"/>
        <w:bottom w:val="none" w:sz="0" w:space="0" w:color="auto"/>
        <w:right w:val="none" w:sz="0" w:space="0" w:color="auto"/>
      </w:divBdr>
    </w:div>
    <w:div w:id="214658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pc.uct.ac.za/" TargetMode="Externa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5" Type="http://schemas.openxmlformats.org/officeDocument/2006/relationships/image" Target="media/image5.jp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5C02D-1DD5-420F-B3AE-44FDB7C66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3131</Words>
  <Characters>17849</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mlland028@myuct.ac.za</dc:creator>
  <cp:lastModifiedBy>MLLAND028@myuct.ac.za</cp:lastModifiedBy>
  <cp:revision>3</cp:revision>
  <cp:lastPrinted>2018-10-13T09:37:00Z</cp:lastPrinted>
  <dcterms:created xsi:type="dcterms:W3CDTF">2018-12-20T19:57:00Z</dcterms:created>
  <dcterms:modified xsi:type="dcterms:W3CDTF">2018-12-20T19:58:00Z</dcterms:modified>
</cp:coreProperties>
</file>