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90BF80" w14:textId="008A0F4A" w:rsidR="00727764" w:rsidRDefault="00CF799D" w:rsidP="00D967DD">
      <w:pPr>
        <w:pStyle w:val="Heading1"/>
        <w:tabs>
          <w:tab w:val="left" w:pos="1134"/>
        </w:tabs>
        <w:rPr>
          <w:rFonts w:ascii="Minion Pro" w:hAnsi="Minion Pro"/>
          <w:b/>
          <w:i/>
          <w:color w:val="76923C" w:themeColor="accent3" w:themeShade="BF"/>
          <w:sz w:val="44"/>
          <w:szCs w:val="44"/>
        </w:rPr>
      </w:pPr>
      <w:r w:rsidRPr="00727764">
        <w:rPr>
          <w:rFonts w:ascii="Minion Pro" w:hAnsi="Minion Pro"/>
          <w:b/>
          <w:color w:val="76923C" w:themeColor="accent3" w:themeShade="BF"/>
          <w:sz w:val="52"/>
          <w:szCs w:val="52"/>
        </w:rPr>
        <w:t>Digital literacies</w:t>
      </w:r>
    </w:p>
    <w:p w14:paraId="7B32340D" w14:textId="190F71B6" w:rsidR="00727764" w:rsidRPr="00727764" w:rsidRDefault="00727764" w:rsidP="00727764">
      <w:pPr>
        <w:pStyle w:val="Heading1"/>
        <w:rPr>
          <w:rFonts w:ascii="Minion Pro" w:hAnsi="Minion Pro"/>
          <w:b/>
          <w:i/>
          <w:color w:val="76923C" w:themeColor="accent3" w:themeShade="BF"/>
          <w:sz w:val="44"/>
          <w:szCs w:val="44"/>
        </w:rPr>
      </w:pPr>
      <w:r w:rsidRPr="00E66264">
        <w:rPr>
          <w:rFonts w:ascii="Minion Pro" w:hAnsi="Minion Pro"/>
          <w:b/>
          <w:i/>
          <w:color w:val="76923C" w:themeColor="accent3" w:themeShade="BF"/>
          <w:sz w:val="36"/>
          <w:szCs w:val="44"/>
        </w:rPr>
        <w:t>CILT POSITION PAPER</w:t>
      </w:r>
    </w:p>
    <w:p w14:paraId="4E0E881D" w14:textId="77777777" w:rsidR="00727764" w:rsidRPr="00727764" w:rsidRDefault="00727764" w:rsidP="00727764"/>
    <w:p w14:paraId="53B0EB2C" w14:textId="77777777" w:rsidR="007E1CE7" w:rsidRPr="007E1CE7" w:rsidRDefault="007E1CE7" w:rsidP="007E1CE7"/>
    <w:p w14:paraId="5DB194F0" w14:textId="29A42E1B" w:rsidR="008D4F32" w:rsidRPr="00727764" w:rsidRDefault="00CF799D" w:rsidP="0062380A">
      <w:pPr>
        <w:rPr>
          <w:rFonts w:ascii="Palatino" w:hAnsi="Palatino"/>
          <w:b/>
          <w:sz w:val="28"/>
          <w:szCs w:val="28"/>
        </w:rPr>
      </w:pPr>
      <w:r w:rsidRPr="00CF799D">
        <w:rPr>
          <w:rFonts w:ascii="Palatino" w:hAnsi="Palatino"/>
          <w:b/>
          <w:sz w:val="28"/>
          <w:szCs w:val="28"/>
        </w:rPr>
        <w:t>Cheryl Brown and Tabisa Mayisela</w:t>
      </w:r>
      <w:bookmarkStart w:id="0" w:name="h.sutfnwyts7rq" w:colFirst="0" w:colLast="0"/>
      <w:bookmarkStart w:id="1" w:name="h.l0yp1y3kprm" w:colFirst="0" w:colLast="0"/>
      <w:bookmarkStart w:id="2" w:name="h.83cf6lbw5j7m" w:colFirst="0" w:colLast="0"/>
      <w:bookmarkEnd w:id="0"/>
      <w:bookmarkEnd w:id="1"/>
      <w:bookmarkEnd w:id="2"/>
      <w:r w:rsidR="00625D6A">
        <w:rPr>
          <w:rFonts w:ascii="Palatino" w:hAnsi="Palatino"/>
          <w:i/>
          <w:szCs w:val="22"/>
        </w:rPr>
        <w:br/>
      </w:r>
      <w:bookmarkStart w:id="3" w:name="_GoBack"/>
      <w:r w:rsidR="003E7848">
        <w:rPr>
          <w:rFonts w:ascii="Palatino" w:hAnsi="Palatino"/>
          <w:i/>
          <w:noProof/>
          <w:szCs w:val="22"/>
        </w:rPr>
        <w:drawing>
          <wp:inline distT="0" distB="0" distL="0" distR="0" wp14:anchorId="168AC1A4" wp14:editId="3A021C56">
            <wp:extent cx="5489713" cy="3659809"/>
            <wp:effectExtent l="0" t="0" r="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Macintosh HD:Users:rondinecarstens:Downloads:7691519996_20b5f4dc48_h.jpg"/>
                    <pic:cNvPicPr>
                      <a:picLocks noChangeAspect="1" noChangeArrowheads="1"/>
                    </pic:cNvPicPr>
                  </pic:nvPicPr>
                  <pic:blipFill>
                    <a:blip r:embed="rId9">
                      <a:extLst>
                        <a:ext uri="{28A0092B-C50C-407E-A947-70E740481C1C}">
                          <a14:useLocalDpi xmlns:a14="http://schemas.microsoft.com/office/drawing/2010/main" val="0"/>
                        </a:ext>
                      </a:extLst>
                    </a:blip>
                    <a:stretch>
                      <a:fillRect/>
                    </a:stretch>
                  </pic:blipFill>
                  <pic:spPr bwMode="auto">
                    <a:xfrm>
                      <a:off x="0" y="0"/>
                      <a:ext cx="5489957" cy="3659972"/>
                    </a:xfrm>
                    <a:prstGeom prst="rect">
                      <a:avLst/>
                    </a:prstGeom>
                    <a:noFill/>
                    <a:ln>
                      <a:noFill/>
                    </a:ln>
                    <a:extLst>
                      <a:ext uri="{53640926-AAD7-44D8-BBD7-CCE9431645EC}">
                        <a14:shadowObscured xmlns:a14="http://schemas.microsoft.com/office/drawing/2010/main"/>
                      </a:ext>
                    </a:extLst>
                  </pic:spPr>
                </pic:pic>
              </a:graphicData>
            </a:graphic>
          </wp:inline>
        </w:drawing>
      </w:r>
      <w:bookmarkEnd w:id="3"/>
    </w:p>
    <w:p w14:paraId="3BF11967" w14:textId="1BF9762A" w:rsidR="003B2FC4" w:rsidRDefault="008D4F32" w:rsidP="0062380A">
      <w:pPr>
        <w:rPr>
          <w:rFonts w:ascii="Eurostile" w:hAnsi="Eurostile"/>
          <w:b/>
          <w:color w:val="76923C" w:themeColor="accent3" w:themeShade="BF"/>
          <w:sz w:val="44"/>
          <w:szCs w:val="44"/>
        </w:rPr>
      </w:pPr>
      <w:r w:rsidRPr="007E1CE7">
        <w:rPr>
          <w:rFonts w:ascii="Minion Pro" w:hAnsi="Minion Pro"/>
          <w:noProof/>
          <w:szCs w:val="22"/>
        </w:rPr>
        <mc:AlternateContent>
          <mc:Choice Requires="wps">
            <w:drawing>
              <wp:anchor distT="0" distB="0" distL="114300" distR="114300" simplePos="0" relativeHeight="251674624" behindDoc="0" locked="0" layoutInCell="1" allowOverlap="1" wp14:anchorId="185CFAAC" wp14:editId="20255226">
                <wp:simplePos x="0" y="0"/>
                <wp:positionH relativeFrom="column">
                  <wp:posOffset>0</wp:posOffset>
                </wp:positionH>
                <wp:positionV relativeFrom="paragraph">
                  <wp:posOffset>16510</wp:posOffset>
                </wp:positionV>
                <wp:extent cx="4457700" cy="287020"/>
                <wp:effectExtent l="0" t="0" r="12700" b="0"/>
                <wp:wrapThrough wrapText="bothSides">
                  <wp:wrapPolygon edited="0">
                    <wp:start x="0" y="0"/>
                    <wp:lineTo x="0" y="19115"/>
                    <wp:lineTo x="21538" y="19115"/>
                    <wp:lineTo x="21538" y="0"/>
                    <wp:lineTo x="0" y="0"/>
                  </wp:wrapPolygon>
                </wp:wrapThrough>
                <wp:docPr id="14" name="Text Box 14"/>
                <wp:cNvGraphicFramePr/>
                <a:graphic xmlns:a="http://schemas.openxmlformats.org/drawingml/2006/main">
                  <a:graphicData uri="http://schemas.microsoft.com/office/word/2010/wordprocessingShape">
                    <wps:wsp>
                      <wps:cNvSpPr txBox="1"/>
                      <wps:spPr>
                        <a:xfrm>
                          <a:off x="0" y="0"/>
                          <a:ext cx="4457700" cy="287020"/>
                        </a:xfrm>
                        <a:prstGeom prst="rect">
                          <a:avLst/>
                        </a:prstGeom>
                        <a:solidFill>
                          <a:prstClr val="white"/>
                        </a:solidFill>
                        <a:ln>
                          <a:noFill/>
                        </a:ln>
                        <a:effectLst/>
                        <a:extLst>
                          <a:ext uri="{C572A759-6A51-4108-AA02-DFA0A04FC94B}">
                            <ma14:wrappingTextBoxFlag xmlns:ma14="http://schemas.microsoft.com/office/mac/drawingml/2011/main" xmlns:w="http://schemas.openxmlformats.org/wordprocessingml/2006/main" xmlns:w10="urn:schemas-microsoft-com:office:word" xmlns:v="urn:schemas-microsoft-com:vml" xmlns:o="urn:schemas-microsoft-com:office:office" xmlns:mv="urn:schemas-microsoft-com:mac:vml" xmlns:mo="http://schemas.microsoft.com/office/mac/office/2008/main" xmlns=""/>
                          </a:ext>
                        </a:extLst>
                      </wps:spPr>
                      <wps:txbx>
                        <w:txbxContent>
                          <w:p w14:paraId="4641774E" w14:textId="050B3411" w:rsidR="003E7848" w:rsidRPr="003E7848" w:rsidRDefault="00D967DD" w:rsidP="003E7848">
                            <w:pPr>
                              <w:rPr>
                                <w:rFonts w:eastAsia="Times New Roman" w:cs="Times New Roman"/>
                              </w:rPr>
                            </w:pPr>
                            <w:r>
                              <w:rPr>
                                <w:rStyle w:val="Emphasis"/>
                                <w:color w:val="76923C" w:themeColor="accent3" w:themeShade="BF"/>
                                <w:sz w:val="16"/>
                              </w:rPr>
                              <w:t>Hands Typing</w:t>
                            </w:r>
                            <w:r w:rsidR="003E7848">
                              <w:rPr>
                                <w:rStyle w:val="Emphasis"/>
                                <w:color w:val="76923C" w:themeColor="accent3" w:themeShade="BF"/>
                                <w:sz w:val="16"/>
                              </w:rPr>
                              <w:t xml:space="preserve"> Image CC BY-SA </w:t>
                            </w:r>
                            <w:r w:rsidR="003E7848" w:rsidRPr="003E7848">
                              <w:rPr>
                                <w:rStyle w:val="Emphasis"/>
                                <w:color w:val="76923C" w:themeColor="accent3" w:themeShade="BF"/>
                                <w:sz w:val="16"/>
                              </w:rPr>
                              <w:t xml:space="preserve">by </w:t>
                            </w:r>
                            <w:r w:rsidRPr="00D967DD">
                              <w:rPr>
                                <w:rStyle w:val="Emphasis"/>
                                <w:color w:val="76923C" w:themeColor="accent3" w:themeShade="BF"/>
                                <w:sz w:val="16"/>
                              </w:rPr>
                              <w:t>Rondine Carstens</w:t>
                            </w:r>
                            <w:r w:rsidR="003E7848" w:rsidRPr="003E7848">
                              <w:rPr>
                                <w:rStyle w:val="Emphasis"/>
                                <w:color w:val="76923C" w:themeColor="accent3" w:themeShade="BF"/>
                                <w:sz w:val="16"/>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shapetype id="_x0000_t202" coordsize="21600,21600" o:spt="202" path="m0,0l0,21600,21600,21600,21600,0xe">
                <v:stroke joinstyle="miter"/>
                <v:path gradientshapeok="t" o:connecttype="rect"/>
              </v:shapetype>
              <v:shape id="Text Box 14" o:spid="_x0000_s1026" type="#_x0000_t202" style="position:absolute;margin-left:0;margin-top:1.3pt;width:351pt;height:22.6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" stroked="f">
                <v:textbox inset="0,0,0,0">
                  <w:txbxContent>
                    <w:p w14:paraId="4641774E" w14:textId="050B3411" w:rsidR="003E7848" w:rsidRPr="003E7848" w:rsidRDefault="00D967DD" w:rsidP="003E7848">
                      <w:pPr>
                        <w:rPr>
                          <w:rFonts w:eastAsia="Times New Roman" w:cs="Times New Roman"/>
                        </w:rPr>
                      </w:pPr>
                      <w:r>
                        <w:rPr>
                          <w:rStyle w:val="Emphasis"/>
                          <w:color w:val="76923C" w:themeColor="accent3" w:themeShade="BF"/>
                          <w:sz w:val="16"/>
                        </w:rPr>
                        <w:t>Hands Typing</w:t>
                      </w:r>
                      <w:r w:rsidR="003E7848">
                        <w:rPr>
                          <w:rStyle w:val="Emphasis"/>
                          <w:color w:val="76923C" w:themeColor="accent3" w:themeShade="BF"/>
                          <w:sz w:val="16"/>
                        </w:rPr>
                        <w:t xml:space="preserve"> Image CC BY-SA </w:t>
                      </w:r>
                      <w:r w:rsidR="003E7848" w:rsidRPr="003E7848">
                        <w:rPr>
                          <w:rStyle w:val="Emphasis"/>
                          <w:color w:val="76923C" w:themeColor="accent3" w:themeShade="BF"/>
                          <w:sz w:val="16"/>
                        </w:rPr>
                        <w:t xml:space="preserve">by </w:t>
                      </w:r>
                      <w:r w:rsidRPr="00D967DD">
                        <w:rPr>
                          <w:rStyle w:val="Emphasis"/>
                          <w:color w:val="76923C" w:themeColor="accent3" w:themeShade="BF"/>
                          <w:sz w:val="16"/>
                        </w:rPr>
                        <w:t>Rondine Carstens</w:t>
                      </w:r>
                      <w:r w:rsidR="003E7848" w:rsidRPr="003E7848">
                        <w:rPr>
                          <w:rStyle w:val="Emphasis"/>
                          <w:color w:val="76923C" w:themeColor="accent3" w:themeShade="BF"/>
                          <w:sz w:val="16"/>
                        </w:rPr>
                        <w:t xml:space="preserve"> </w:t>
                      </w:r>
                    </w:p>
                  </w:txbxContent>
                </v:textbox>
                <w10:wrap type="through"/>
              </v:shape>
            </w:pict>
          </mc:Fallback>
        </mc:AlternateContent>
      </w:r>
    </w:p>
    <w:p w14:paraId="6D9A661F" w14:textId="68801840" w:rsidR="003E7848" w:rsidRPr="00E203EC" w:rsidRDefault="003E7848" w:rsidP="0062380A">
      <w:pPr>
        <w:rPr>
          <w:rFonts w:ascii="Minion Pro" w:hAnsi="Minion Pro"/>
          <w:b/>
          <w:color w:val="76923C" w:themeColor="accent3" w:themeShade="BF"/>
          <w:sz w:val="44"/>
          <w:szCs w:val="44"/>
        </w:rPr>
      </w:pPr>
      <w:r w:rsidRPr="003E7848">
        <w:rPr>
          <w:rFonts w:ascii="Minion Pro" w:hAnsi="Minion Pro"/>
          <w:b/>
          <w:color w:val="76923C" w:themeColor="accent3" w:themeShade="BF"/>
          <w:sz w:val="44"/>
          <w:szCs w:val="44"/>
        </w:rPr>
        <w:t>Introduction to digital literacies: Their roles in higher education</w:t>
      </w:r>
    </w:p>
    <w:p w14:paraId="18B4FC35" w14:textId="77777777" w:rsidR="003E7848" w:rsidRPr="003E7848" w:rsidRDefault="003E7848" w:rsidP="00FC58C1">
      <w:pPr>
        <w:widowControl w:val="0"/>
        <w:spacing w:line="360" w:lineRule="auto"/>
        <w:jc w:val="both"/>
        <w:rPr>
          <w:rFonts w:ascii="Minion Pro" w:hAnsi="Minion Pro"/>
        </w:rPr>
      </w:pPr>
      <w:r w:rsidRPr="003E7848">
        <w:rPr>
          <w:rFonts w:ascii="Minion Pro" w:hAnsi="Minion Pro"/>
        </w:rPr>
        <w:t>Universities now provide access to computers as a standard service. Almost all students need to use a computer in some way for their studies and information and communication technologies (ICTs) are seen as a core component of learning. However, higher education institutions (HEIs) tend to believe that all that they need to do, in order for students to use technology for their learning, is to provide access. The question that arises is: is access to technology enough to guarantee students use of ICT for learning?</w:t>
      </w:r>
    </w:p>
    <w:p w14:paraId="723C33CD" w14:textId="77777777" w:rsidR="003E7848" w:rsidRPr="003E7848" w:rsidRDefault="003E7848" w:rsidP="003E7848">
      <w:pPr>
        <w:widowControl w:val="0"/>
        <w:spacing w:line="360" w:lineRule="auto"/>
        <w:rPr>
          <w:rFonts w:ascii="Minion Pro" w:hAnsi="Minion Pro"/>
        </w:rPr>
      </w:pPr>
    </w:p>
    <w:p w14:paraId="0A9C224F" w14:textId="77777777" w:rsidR="003E7848" w:rsidRPr="003E7848" w:rsidRDefault="003E7848" w:rsidP="00FC58C1">
      <w:pPr>
        <w:widowControl w:val="0"/>
        <w:spacing w:line="360" w:lineRule="auto"/>
        <w:jc w:val="both"/>
        <w:rPr>
          <w:rFonts w:ascii="Minion Pro" w:hAnsi="Minion Pro"/>
        </w:rPr>
      </w:pPr>
      <w:r w:rsidRPr="003E7848">
        <w:rPr>
          <w:rFonts w:ascii="Minion Pro" w:hAnsi="Minion Pro"/>
        </w:rPr>
        <w:t xml:space="preserve">Research indicates there is a small but consistent group of first-year students who have insufficient basic computer literacy skills when they arrive at university (Nash 2009), and that the majority of students – even those who are deemed to be computer literate – lack the </w:t>
      </w:r>
      <w:r w:rsidRPr="003E7848">
        <w:rPr>
          <w:rFonts w:ascii="Minion Pro" w:hAnsi="Minion Pro"/>
        </w:rPr>
        <w:lastRenderedPageBreak/>
        <w:t xml:space="preserve">most basic information literacy skills and are extremely poor at finding and evaluating sources of information (Asher et al. 2010). Furthermore, even those students who are more acquainted with a variety of digital media lack the ability to transfer their technology skills into the academic context (Kennedy et al. 2010). It has also been noted that, while many young people can operate a digital device ‘many teens are more likely to be digital naives than digital natives’ (Hargittai 2010). These teenagers are the age group that is assumed: (1) to have grown up surrounded by technology and (2) to be digital literate (Prensky 2001). The above implies that, in the dynamically changing world of ICTs and rapid information production, students need to constantly learn new academic skills. </w:t>
      </w:r>
    </w:p>
    <w:p w14:paraId="22DCD44B" w14:textId="77777777" w:rsidR="003E7848" w:rsidRPr="003E7848" w:rsidRDefault="003E7848" w:rsidP="003E7848">
      <w:pPr>
        <w:widowControl w:val="0"/>
        <w:spacing w:line="360" w:lineRule="auto"/>
        <w:rPr>
          <w:rFonts w:ascii="Minion Pro" w:hAnsi="Minion Pro"/>
        </w:rPr>
      </w:pPr>
    </w:p>
    <w:p w14:paraId="0CC8FF71" w14:textId="77777777" w:rsidR="003E7848" w:rsidRDefault="003E7848" w:rsidP="00FC58C1">
      <w:pPr>
        <w:widowControl w:val="0"/>
        <w:spacing w:line="360" w:lineRule="auto"/>
        <w:jc w:val="both"/>
      </w:pPr>
      <w:r w:rsidRPr="003E7848">
        <w:rPr>
          <w:rFonts w:ascii="Minion Pro" w:hAnsi="Minion Pro"/>
        </w:rPr>
        <w:t>Many learners enter further and higher education lacking the essential skills needed to apply digital technologies to their learning. The United Kingdom-based Joint Information Steering Committee (JISC), in its 2011–13 project</w:t>
      </w:r>
      <w:r w:rsidRPr="003E7848">
        <w:rPr>
          <w:rStyle w:val="FootnoteReference"/>
          <w:rFonts w:ascii="Minion Pro" w:hAnsi="Minion Pro"/>
        </w:rPr>
        <w:footnoteReference w:id="1"/>
      </w:r>
      <w:r w:rsidRPr="003E7848">
        <w:rPr>
          <w:rFonts w:ascii="Minion Pro" w:hAnsi="Minion Pro"/>
        </w:rPr>
        <w:t xml:space="preserve"> on digital literacy, noted that students who lack digital capital of all kinds – devices, know-how and positive experiences with technology – risk being marginalised. In other words, digital literacies comprise those capabilities which fit an individual for living, learning and working in a digital society (JISC 2011). These digital literacy competencies go beyond the ability to find, evaluate and use information (information literacy), to encompass: communication, collaboration and teamwork, social awareness in the digital environment, understanding of e-safety and creation of new information. Therefore, higher education cannot afford not to equip students with these skills.</w:t>
      </w:r>
      <w:r>
        <w:t xml:space="preserve"> </w:t>
      </w:r>
    </w:p>
    <w:p w14:paraId="15FC3C63" w14:textId="77777777" w:rsidR="003E7848" w:rsidRDefault="003E7848" w:rsidP="003E7848">
      <w:pPr>
        <w:widowControl w:val="0"/>
        <w:spacing w:line="360" w:lineRule="auto"/>
      </w:pPr>
    </w:p>
    <w:p w14:paraId="08A56D7F" w14:textId="77777777" w:rsidR="003E7848" w:rsidRPr="003E7848" w:rsidRDefault="003E7848" w:rsidP="003E7848">
      <w:pPr>
        <w:rPr>
          <w:rFonts w:ascii="Minion Pro" w:hAnsi="Minion Pro"/>
          <w:b/>
          <w:color w:val="76923C" w:themeColor="accent3" w:themeShade="BF"/>
          <w:sz w:val="44"/>
          <w:szCs w:val="44"/>
        </w:rPr>
      </w:pPr>
      <w:r w:rsidRPr="003E7848">
        <w:rPr>
          <w:rFonts w:ascii="Minion Pro" w:hAnsi="Minion Pro"/>
          <w:b/>
          <w:color w:val="76923C" w:themeColor="accent3" w:themeShade="BF"/>
          <w:sz w:val="44"/>
          <w:szCs w:val="44"/>
        </w:rPr>
        <w:t>Current international trends and thinking</w:t>
      </w:r>
    </w:p>
    <w:p w14:paraId="4D665835" w14:textId="77777777" w:rsidR="003E7848" w:rsidRPr="003E7848" w:rsidRDefault="003E7848" w:rsidP="00FC58C1">
      <w:pPr>
        <w:widowControl w:val="0"/>
        <w:spacing w:line="360" w:lineRule="auto"/>
        <w:jc w:val="both"/>
        <w:rPr>
          <w:rFonts w:ascii="Minion Pro" w:hAnsi="Minion Pro"/>
        </w:rPr>
      </w:pPr>
      <w:r w:rsidRPr="003E7848">
        <w:rPr>
          <w:rFonts w:ascii="Minion Pro" w:hAnsi="Minion Pro"/>
        </w:rPr>
        <w:t xml:space="preserve">Universities, globally, have shifted from talking about computer skills (functional IT use) to digital literacies and associated graduate attributes. Such literacies are now globally accepted to be a core need for students in higher education (Goodfellow &amp; Lea 2013). In developing countries such as South Africa, an already complex requirement is made additionally complicated by the variety of ICT access considerations, not least of which are practical. </w:t>
      </w:r>
    </w:p>
    <w:p w14:paraId="6A52D67F" w14:textId="77777777" w:rsidR="003E7848" w:rsidRPr="003E7848" w:rsidRDefault="003E7848" w:rsidP="003E7848">
      <w:pPr>
        <w:widowControl w:val="0"/>
        <w:spacing w:line="360" w:lineRule="auto"/>
        <w:rPr>
          <w:rFonts w:ascii="Minion Pro" w:hAnsi="Minion Pro"/>
        </w:rPr>
      </w:pPr>
    </w:p>
    <w:p w14:paraId="06FBBFE6" w14:textId="77777777" w:rsidR="003E7848" w:rsidRPr="003E7848" w:rsidRDefault="003E7848" w:rsidP="00FC58C1">
      <w:pPr>
        <w:widowControl w:val="0"/>
        <w:spacing w:line="360" w:lineRule="auto"/>
        <w:jc w:val="both"/>
        <w:rPr>
          <w:rFonts w:ascii="Minion Pro" w:hAnsi="Minion Pro"/>
        </w:rPr>
      </w:pPr>
      <w:r w:rsidRPr="003E7848">
        <w:rPr>
          <w:rFonts w:ascii="Minion Pro" w:hAnsi="Minion Pro"/>
        </w:rPr>
        <w:t>While on-campus bandwidth in South African universities is equivalent to European universities</w:t>
      </w:r>
      <w:r w:rsidRPr="003E7848">
        <w:rPr>
          <w:rFonts w:ascii="Minion Pro" w:hAnsi="Minion Pro"/>
        </w:rPr>
        <w:footnoteReference w:id="2"/>
      </w:r>
      <w:r w:rsidRPr="003E7848">
        <w:rPr>
          <w:rFonts w:ascii="Minion Pro" w:hAnsi="Minion Pro"/>
        </w:rPr>
        <w:t xml:space="preserve">, and individual students have access to devices that vary dramatically in terms of functionality, off-campus bandwidth remains very uneven (Department of Higher </w:t>
      </w:r>
      <w:r w:rsidRPr="003E7848">
        <w:rPr>
          <w:rFonts w:ascii="Minion Pro" w:hAnsi="Minion Pro"/>
        </w:rPr>
        <w:lastRenderedPageBreak/>
        <w:t xml:space="preserve">Education and Training 2012). However, while physical access to ICT is a foundational component of digital literacies, students need to become competent in their use of ICTs so that they are better able to achieve their academic purposes and, ultimately, they need to move to the level where they become producers, not simply consumers of online content. </w:t>
      </w:r>
    </w:p>
    <w:p w14:paraId="02FD9467" w14:textId="77777777" w:rsidR="003E7848" w:rsidRPr="003E7848" w:rsidRDefault="003E7848" w:rsidP="003E7848">
      <w:pPr>
        <w:widowControl w:val="0"/>
        <w:spacing w:line="360" w:lineRule="auto"/>
        <w:rPr>
          <w:rFonts w:ascii="Minion Pro" w:hAnsi="Minion Pro"/>
        </w:rPr>
      </w:pPr>
    </w:p>
    <w:p w14:paraId="5532EF96" w14:textId="77777777" w:rsidR="003E7848" w:rsidRPr="003E7848" w:rsidRDefault="003E7848" w:rsidP="00FC58C1">
      <w:pPr>
        <w:widowControl w:val="0"/>
        <w:spacing w:line="360" w:lineRule="auto"/>
        <w:jc w:val="both"/>
        <w:rPr>
          <w:rFonts w:ascii="Minion Pro" w:hAnsi="Minion Pro"/>
        </w:rPr>
      </w:pPr>
      <w:r w:rsidRPr="003E7848">
        <w:rPr>
          <w:rFonts w:ascii="Minion Pro" w:hAnsi="Minion Pro"/>
        </w:rPr>
        <w:t xml:space="preserve">Using ICTs to create, design, plan and behave in ways that shape students’ personal, academic and future professional lives is a form of digital literacy, as noted by Beetham and Sharpe (2011) in their Literacies Development Framework. The framework is, however, sometimes criticised for being narrowly focused on capabilities and consumption of technology, rather than on a more proactive contribution to production, using technology. Newman (2009) provides an alternative lens: digital literacy involves knowledge and competency with digital tools, critical thinking and social awareness of technology. Notions of transliteracy (being literate across a variety of platforms) have also merged recently a way of viewing the role of ICTs in academic practice (Wheeler 2012). </w:t>
      </w:r>
    </w:p>
    <w:p w14:paraId="1E1E21DE" w14:textId="77777777" w:rsidR="003E7848" w:rsidRDefault="003E7848" w:rsidP="003E7848">
      <w:pPr>
        <w:widowControl w:val="0"/>
        <w:spacing w:line="360" w:lineRule="auto"/>
      </w:pPr>
    </w:p>
    <w:p w14:paraId="0505FA00" w14:textId="77777777" w:rsidR="003E7848" w:rsidRDefault="003E7848" w:rsidP="003E7848">
      <w:r w:rsidRPr="003E7848">
        <w:rPr>
          <w:rFonts w:ascii="Minion Pro" w:hAnsi="Minion Pro"/>
          <w:b/>
          <w:color w:val="76923C" w:themeColor="accent3" w:themeShade="BF"/>
          <w:sz w:val="44"/>
          <w:szCs w:val="44"/>
        </w:rPr>
        <w:t>Current use in South African contexts</w:t>
      </w:r>
    </w:p>
    <w:p w14:paraId="515475E4" w14:textId="77777777" w:rsidR="003E7848" w:rsidRPr="003E7848" w:rsidRDefault="003E7848" w:rsidP="00FC58C1">
      <w:pPr>
        <w:widowControl w:val="0"/>
        <w:spacing w:line="360" w:lineRule="auto"/>
        <w:jc w:val="both"/>
        <w:rPr>
          <w:rFonts w:ascii="Minion Pro" w:hAnsi="Minion Pro"/>
        </w:rPr>
      </w:pPr>
      <w:r w:rsidRPr="003E7848">
        <w:rPr>
          <w:rFonts w:ascii="Minion Pro" w:hAnsi="Minion Pro"/>
        </w:rPr>
        <w:t>Most South African studies on digital literacies examine students’ general technology use (Thinyane 2010; Brown &amp; Czerniewicz 2010) and the prevalence of social media use SA Student Village 2014), while a few focus on specific formats: blogging (Cronje 2012), wikis (Rowe 2012), visual arts eportfolio design (Noakes 2011; 2012.), video editing and production (Deacon, Morrison &amp; Stadler 2005; Cronje 2010.), digital storytelling (Barnes, Gachago &amp; Ivala 2015) as well as music-making (Haupt 2008; 2012). Universities are beginning to adopt the terminology of digital literacies</w:t>
      </w:r>
      <w:r w:rsidRPr="003E7848">
        <w:rPr>
          <w:rFonts w:ascii="Minion Pro" w:hAnsi="Minion Pro"/>
        </w:rPr>
        <w:footnoteReference w:id="3"/>
      </w:r>
      <w:r w:rsidRPr="003E7848">
        <w:rPr>
          <w:rFonts w:ascii="Minion Pro" w:hAnsi="Minion Pro"/>
        </w:rPr>
        <w:t xml:space="preserve"> but probably have a long way to go in adopting practices that emphasise the fuller vision of what digital literacies encompass. </w:t>
      </w:r>
    </w:p>
    <w:p w14:paraId="303B85E5" w14:textId="77777777" w:rsidR="003E7848" w:rsidRDefault="003E7848" w:rsidP="003E7848">
      <w:pPr>
        <w:widowControl w:val="0"/>
        <w:spacing w:line="360" w:lineRule="auto"/>
      </w:pPr>
    </w:p>
    <w:p w14:paraId="768C6267" w14:textId="77777777" w:rsidR="003E7848" w:rsidRDefault="003E7848" w:rsidP="003E7848">
      <w:r w:rsidRPr="003E7848">
        <w:rPr>
          <w:rFonts w:ascii="Minion Pro" w:hAnsi="Minion Pro"/>
          <w:b/>
          <w:color w:val="76923C" w:themeColor="accent3" w:themeShade="BF"/>
          <w:sz w:val="44"/>
          <w:szCs w:val="44"/>
        </w:rPr>
        <w:t>Considerations informing integration</w:t>
      </w:r>
      <w:r>
        <w:t xml:space="preserve"> </w:t>
      </w:r>
    </w:p>
    <w:p w14:paraId="019A608D" w14:textId="5420C441" w:rsidR="003E7848" w:rsidRPr="000F75F2" w:rsidRDefault="003E7848" w:rsidP="000F75F2">
      <w:pPr>
        <w:widowControl w:val="0"/>
        <w:spacing w:line="360" w:lineRule="auto"/>
        <w:jc w:val="both"/>
        <w:rPr>
          <w:rFonts w:ascii="Minion Pro" w:hAnsi="Minion Pro"/>
        </w:rPr>
      </w:pPr>
      <w:r w:rsidRPr="003E7848">
        <w:rPr>
          <w:rFonts w:ascii="Minion Pro" w:hAnsi="Minion Pro"/>
        </w:rPr>
        <w:t>ICT literacy is not an isolated skill or need, and should not be treated as such. It makes sense, given links between digital inclusion and social inclusion that ICT literacy is tied up with other academic development issues. As boundaries between information literacy and other academic literacies become more porous, i</w:t>
      </w:r>
      <w:r w:rsidR="00FC58C1">
        <w:rPr>
          <w:rFonts w:ascii="Minion Pro" w:hAnsi="Minion Pro"/>
        </w:rPr>
        <w:t xml:space="preserve">t is essential that librarians, </w:t>
      </w:r>
      <w:r w:rsidRPr="003E7848">
        <w:rPr>
          <w:rFonts w:ascii="Minion Pro" w:hAnsi="Minion Pro"/>
        </w:rPr>
        <w:t>educational technologists, and academic literacy professionals work together to develop students' digital literacies within the context of their backgrounds and current disciplines (Brown 2012).</w:t>
      </w:r>
    </w:p>
    <w:p w14:paraId="1A76C26A" w14:textId="79315AB7" w:rsidR="003E7848" w:rsidRDefault="003E7848" w:rsidP="003E7848">
      <w:r w:rsidRPr="003B7EC6">
        <w:rPr>
          <w:rFonts w:ascii="Minion Pro" w:hAnsi="Minion Pro"/>
          <w:noProof/>
          <w:sz w:val="40"/>
        </w:rPr>
        <w:lastRenderedPageBreak/>
        <mc:AlternateContent>
          <mc:Choice Requires="wps">
            <w:drawing>
              <wp:anchor distT="0" distB="0" distL="114300" distR="114300" simplePos="0" relativeHeight="251661312" behindDoc="0" locked="0" layoutInCell="1" allowOverlap="1" wp14:anchorId="2F11793A" wp14:editId="4AFDA01C">
                <wp:simplePos x="0" y="0"/>
                <wp:positionH relativeFrom="column">
                  <wp:posOffset>2171700</wp:posOffset>
                </wp:positionH>
                <wp:positionV relativeFrom="paragraph">
                  <wp:posOffset>-228600</wp:posOffset>
                </wp:positionV>
                <wp:extent cx="3429000" cy="9715500"/>
                <wp:effectExtent l="0" t="0" r="0" b="12700"/>
                <wp:wrapSquare wrapText="bothSides"/>
                <wp:docPr id="2" name="Rectangle 2"/>
                <wp:cNvGraphicFramePr/>
                <a:graphic xmlns:a="http://schemas.openxmlformats.org/drawingml/2006/main">
                  <a:graphicData uri="http://schemas.microsoft.com/office/word/2010/wordprocessingShape">
                    <wps:wsp>
                      <wps:cNvSpPr/>
                      <wps:spPr>
                        <a:xfrm>
                          <a:off x="0" y="0"/>
                          <a:ext cx="3429000" cy="9715500"/>
                        </a:xfrm>
                        <a:prstGeom prst="rect">
                          <a:avLst/>
                        </a:prstGeom>
                        <a:solidFill>
                          <a:srgbClr val="FFFFFF"/>
                        </a:solidFill>
                        <a:ln>
                          <a:noFill/>
                        </a:ln>
                        <a:effectLst/>
                      </wps:spPr>
                      <wps:style>
                        <a:lnRef idx="1">
                          <a:schemeClr val="accent1"/>
                        </a:lnRef>
                        <a:fillRef idx="3">
                          <a:schemeClr val="accent1"/>
                        </a:fillRef>
                        <a:effectRef idx="2">
                          <a:schemeClr val="accent1"/>
                        </a:effectRef>
                        <a:fontRef idx="minor">
                          <a:schemeClr val="lt1"/>
                        </a:fontRef>
                      </wps:style>
                      <wps:txbx>
                        <w:txbxContent>
                          <w:p w14:paraId="5CF4D12F" w14:textId="77777777" w:rsidR="003E7848" w:rsidRPr="00727764" w:rsidRDefault="003E7848" w:rsidP="00E902EA">
                            <w:pPr>
                              <w:pStyle w:val="Heading1"/>
                              <w:contextualSpacing w:val="0"/>
                              <w:rPr>
                                <w:rFonts w:ascii="Minion Pro" w:hAnsi="Minion Pro"/>
                                <w:b/>
                                <w:color w:val="76923C" w:themeColor="accent3" w:themeShade="BF"/>
                                <w:sz w:val="28"/>
                              </w:rPr>
                            </w:pPr>
                            <w:r w:rsidRPr="00727764">
                              <w:rPr>
                                <w:rFonts w:ascii="Minion Pro" w:hAnsi="Minion Pro"/>
                                <w:b/>
                                <w:color w:val="76923C" w:themeColor="accent3" w:themeShade="BF"/>
                                <w:sz w:val="28"/>
                              </w:rPr>
                              <w:t xml:space="preserve">Resources for further reading </w:t>
                            </w:r>
                          </w:p>
                          <w:p w14:paraId="5ECBC8E5" w14:textId="77777777" w:rsidR="003E7848" w:rsidRPr="00B91ED7" w:rsidRDefault="003E7848" w:rsidP="00B91ED7">
                            <w:pPr>
                              <w:rPr>
                                <w:rFonts w:ascii="Palatino" w:hAnsi="Palatino"/>
                                <w:color w:val="76923C" w:themeColor="accent3" w:themeShade="BF"/>
                                <w:sz w:val="18"/>
                                <w:szCs w:val="18"/>
                              </w:rPr>
                            </w:pPr>
                          </w:p>
                          <w:p w14:paraId="3605748C" w14:textId="77777777" w:rsidR="003E7848" w:rsidRPr="00FC58C1" w:rsidRDefault="003E7848" w:rsidP="00FC58C1">
                            <w:pPr>
                              <w:rPr>
                                <w:rFonts w:ascii="Palatino" w:hAnsi="Palatino"/>
                                <w:color w:val="76923C" w:themeColor="accent3" w:themeShade="BF"/>
                                <w:sz w:val="18"/>
                                <w:szCs w:val="18"/>
                              </w:rPr>
                            </w:pPr>
                            <w:r w:rsidRPr="00FC58C1">
                              <w:rPr>
                                <w:rFonts w:ascii="Palatino" w:hAnsi="Palatino"/>
                                <w:color w:val="76923C" w:themeColor="accent3" w:themeShade="BF"/>
                                <w:sz w:val="18"/>
                                <w:szCs w:val="18"/>
                              </w:rPr>
                              <w:t>Czerniewicz L, Cox G, Hodgkinson-Williams C &amp; Willmers M (in press, 2015) Open Education and the Open Scholarship Agenda, a University of Cape Town Perspective. In: C Bonk,</w:t>
                            </w:r>
                            <w:r w:rsidRPr="00FC58C1" w:rsidDel="003B221E">
                              <w:rPr>
                                <w:rFonts w:ascii="Palatino" w:hAnsi="Palatino"/>
                                <w:color w:val="76923C" w:themeColor="accent3" w:themeShade="BF"/>
                                <w:sz w:val="18"/>
                                <w:szCs w:val="18"/>
                              </w:rPr>
                              <w:t xml:space="preserve"> </w:t>
                            </w:r>
                            <w:r w:rsidRPr="00FC58C1">
                              <w:rPr>
                                <w:rFonts w:ascii="Palatino" w:hAnsi="Palatino"/>
                                <w:color w:val="76923C" w:themeColor="accent3" w:themeShade="BF"/>
                                <w:sz w:val="18"/>
                                <w:szCs w:val="18"/>
                              </w:rPr>
                              <w:t>M Lee, T Reeves &amp; T Reynolds (eds)</w:t>
                            </w:r>
                            <w:r w:rsidRPr="00FC58C1" w:rsidDel="003B221E">
                              <w:rPr>
                                <w:rFonts w:ascii="Palatino" w:hAnsi="Palatino"/>
                                <w:color w:val="76923C" w:themeColor="accent3" w:themeShade="BF"/>
                                <w:sz w:val="18"/>
                                <w:szCs w:val="18"/>
                              </w:rPr>
                              <w:t xml:space="preserve"> </w:t>
                            </w:r>
                            <w:r w:rsidRPr="00FC58C1">
                              <w:rPr>
                                <w:rFonts w:ascii="Palatino" w:hAnsi="Palatino"/>
                                <w:color w:val="76923C" w:themeColor="accent3" w:themeShade="BF"/>
                                <w:sz w:val="18"/>
                                <w:szCs w:val="18"/>
                              </w:rPr>
                              <w:t xml:space="preserve">MOOCs and Open Education around the World Routledge. Post-print: </w:t>
                            </w:r>
                            <w:hyperlink r:id="rId10" w:history="1">
                              <w:r w:rsidRPr="00FC58C1">
                                <w:rPr>
                                  <w:rFonts w:ascii="Palatino" w:hAnsi="Palatino"/>
                                  <w:color w:val="76923C" w:themeColor="accent3" w:themeShade="BF"/>
                                  <w:sz w:val="18"/>
                                  <w:szCs w:val="18"/>
                                </w:rPr>
                                <w:t>http://open.uct.ac.za/handle/11427/7497</w:t>
                              </w:r>
                            </w:hyperlink>
                            <w:r w:rsidRPr="00FC58C1">
                              <w:rPr>
                                <w:rFonts w:ascii="Palatino" w:hAnsi="Palatino"/>
                                <w:color w:val="76923C" w:themeColor="accent3" w:themeShade="BF"/>
                                <w:sz w:val="18"/>
                                <w:szCs w:val="18"/>
                              </w:rPr>
                              <w:t xml:space="preserve"> </w:t>
                            </w:r>
                          </w:p>
                          <w:p w14:paraId="0A54E6DE" w14:textId="77777777" w:rsidR="003E7848" w:rsidRPr="00FC58C1" w:rsidRDefault="003E7848" w:rsidP="00FC58C1">
                            <w:pPr>
                              <w:rPr>
                                <w:rFonts w:ascii="Palatino" w:hAnsi="Palatino"/>
                                <w:color w:val="76923C" w:themeColor="accent3" w:themeShade="BF"/>
                                <w:sz w:val="18"/>
                                <w:szCs w:val="18"/>
                              </w:rPr>
                            </w:pPr>
                          </w:p>
                          <w:p w14:paraId="41E58AAF"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 xml:space="preserve">Belshaw D (2014) What’s the problem? In The Essentials Elements of Digital Literacies. Available at: </w:t>
                            </w:r>
                            <w:hyperlink r:id="rId11">
                              <w:r w:rsidRPr="00FC58C1">
                                <w:rPr>
                                  <w:rFonts w:ascii="Palatino" w:hAnsi="Palatino"/>
                                  <w:color w:val="76923C" w:themeColor="accent3" w:themeShade="BF"/>
                                  <w:sz w:val="18"/>
                                  <w:szCs w:val="18"/>
                                </w:rPr>
                                <w:t>http://digitalliteraci.es/assets/sample.pdf</w:t>
                              </w:r>
                            </w:hyperlink>
                          </w:p>
                          <w:p w14:paraId="1E0631D2"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 xml:space="preserve">Bennett L (2014) Learning from the early adopters: Developing the digital practitioners. Research in Learning technologies 22. Available at: </w:t>
                            </w:r>
                            <w:hyperlink r:id="rId12" w:history="1">
                              <w:r w:rsidRPr="00FC58C1">
                                <w:rPr>
                                  <w:rFonts w:ascii="Palatino" w:hAnsi="Palatino"/>
                                  <w:color w:val="76923C" w:themeColor="accent3" w:themeShade="BF"/>
                                  <w:sz w:val="18"/>
                                  <w:szCs w:val="18"/>
                                </w:rPr>
                                <w:t>http://www.researchinlearningtechnology.net/index.php/rlt/article/view/21453</w:t>
                              </w:r>
                            </w:hyperlink>
                          </w:p>
                          <w:p w14:paraId="6EB1FB63"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Boyd DM (2014) It’s complicated: The social lives of networked teens. New Haven &amp; London: Yale University Press</w:t>
                            </w:r>
                          </w:p>
                          <w:p w14:paraId="3D05E459"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 xml:space="preserve">Briggs C &amp; Makice K (2011) Digital fluency: Building success in the digital age. SociaLens. Available at: </w:t>
                            </w:r>
                            <w:hyperlink r:id="rId13">
                              <w:r w:rsidRPr="00FC58C1">
                                <w:rPr>
                                  <w:rFonts w:ascii="Palatino" w:hAnsi="Palatino"/>
                                  <w:color w:val="76923C" w:themeColor="accent3" w:themeShade="BF"/>
                                  <w:sz w:val="18"/>
                                  <w:szCs w:val="18"/>
                                </w:rPr>
                                <w:t>http://www.socialens.com/blog/wp-content/uploads/downloads/2012/01/SociaLens_Digital_Fluency_Sample1.pdf</w:t>
                              </w:r>
                            </w:hyperlink>
                            <w:r w:rsidRPr="00FC58C1">
                              <w:rPr>
                                <w:rFonts w:ascii="Palatino" w:hAnsi="Palatino"/>
                                <w:color w:val="76923C" w:themeColor="accent3" w:themeShade="BF"/>
                                <w:sz w:val="18"/>
                                <w:szCs w:val="18"/>
                              </w:rPr>
                              <w:t>.</w:t>
                            </w:r>
                          </w:p>
                          <w:p w14:paraId="26160D04"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Coiro J et al. (2008) Central issues in new literacies and new literacies research. In: J Coiro et al. (eds) Handbook of research on new literacies. Lawrence Erlbaum Associates, pp. 1-21.</w:t>
                            </w:r>
                          </w:p>
                          <w:p w14:paraId="36FE0E66"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 xml:space="preserve">Couros A (2012) Towards digital fluency. Available at: </w:t>
                            </w:r>
                            <w:hyperlink r:id="rId14">
                              <w:r w:rsidRPr="00FC58C1">
                                <w:rPr>
                                  <w:rFonts w:ascii="Palatino" w:hAnsi="Palatino"/>
                                  <w:color w:val="76923C" w:themeColor="accent3" w:themeShade="BF"/>
                                  <w:sz w:val="18"/>
                                  <w:szCs w:val="18"/>
                                </w:rPr>
                                <w:t>h</w:t>
                              </w:r>
                            </w:hyperlink>
                            <w:hyperlink r:id="rId15">
                              <w:r w:rsidRPr="00FC58C1">
                                <w:rPr>
                                  <w:rFonts w:ascii="Palatino" w:hAnsi="Palatino"/>
                                  <w:color w:val="76923C" w:themeColor="accent3" w:themeShade="BF"/>
                                  <w:sz w:val="18"/>
                                  <w:szCs w:val="18"/>
                                </w:rPr>
                                <w:t>ttp://www.slideshare.net/courosa/towards-digital-fluency</w:t>
                              </w:r>
                            </w:hyperlink>
                          </w:p>
                          <w:p w14:paraId="4B7B1E85"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 xml:space="preserve">Goodfellow R &amp; Lea M (eds) (2013) Literacy in the digital university: Learning as social practice in a digital world. Research into Higher Education. Abington: Routledge </w:t>
                            </w:r>
                          </w:p>
                          <w:p w14:paraId="4D4EA863"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Goodfellow R (2011) Literacy, literacies and the digital in higher education. Teaching in Higher Education, 16(1): 37–41</w:t>
                            </w:r>
                          </w:p>
                          <w:p w14:paraId="5D9EB029"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Greenhow C &amp; Robelia B (2009) Old communication, new literacies: Social network sites as social learning resources. Journal of Computer-Mediated Communication, 14(4): 1130–1161</w:t>
                            </w:r>
                          </w:p>
                          <w:p w14:paraId="2BD8F8B3"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 xml:space="preserve">Johnson L, Adams Becker S, Estrada V &amp; Freeman A (2014) NMC Horizon Report 2014: Higher Education Edition. Austin, Texas: The New Media Consortium. Available at: </w:t>
                            </w:r>
                            <w:hyperlink r:id="rId16">
                              <w:r w:rsidRPr="00FC58C1">
                                <w:rPr>
                                  <w:rFonts w:ascii="Palatino" w:hAnsi="Palatino"/>
                                  <w:color w:val="76923C" w:themeColor="accent3" w:themeShade="BF"/>
                                  <w:sz w:val="18"/>
                                  <w:szCs w:val="18"/>
                                </w:rPr>
                                <w:t>http://www.nmc.org/pdf/2014-nmc-horizon-report-he-EN.pdf</w:t>
                              </w:r>
                            </w:hyperlink>
                            <w:r w:rsidRPr="00FC58C1">
                              <w:rPr>
                                <w:rFonts w:ascii="Palatino" w:hAnsi="Palatino"/>
                                <w:color w:val="76923C" w:themeColor="accent3" w:themeShade="BF"/>
                                <w:sz w:val="18"/>
                                <w:szCs w:val="18"/>
                              </w:rPr>
                              <w:t>.</w:t>
                            </w:r>
                          </w:p>
                          <w:p w14:paraId="3DC9C2C5"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Kellner D &amp; Share J (2007) Critical media literacy is not an option. Learning Inquiry 1: 59–69. Available at: http://gseis.ucla.edu/faculty/kellner/essays/2007_Kellner-Share_CML-is-not-Option. pdf</w:t>
                            </w:r>
                          </w:p>
                          <w:p w14:paraId="0041CDF2"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Lea M (2013)</w:t>
                            </w:r>
                            <w:hyperlink r:id="rId17">
                              <w:r w:rsidRPr="00FC58C1">
                                <w:rPr>
                                  <w:rFonts w:ascii="Palatino" w:hAnsi="Palatino"/>
                                  <w:color w:val="76923C" w:themeColor="accent3" w:themeShade="BF"/>
                                  <w:sz w:val="18"/>
                                  <w:szCs w:val="18"/>
                                </w:rPr>
                                <w:t xml:space="preserve"> </w:t>
                              </w:r>
                            </w:hyperlink>
                            <w:hyperlink r:id="rId18">
                              <w:r w:rsidRPr="00FC58C1">
                                <w:rPr>
                                  <w:rFonts w:ascii="Palatino" w:hAnsi="Palatino"/>
                                  <w:color w:val="76923C" w:themeColor="accent3" w:themeShade="BF"/>
                                  <w:sz w:val="18"/>
                                  <w:szCs w:val="18"/>
                                </w:rPr>
                                <w:t>Academic literacies in the digital university: Integrating individual accounts with network practice.</w:t>
                              </w:r>
                            </w:hyperlink>
                            <w:r w:rsidRPr="00FC58C1">
                              <w:rPr>
                                <w:rFonts w:ascii="Palatino" w:hAnsi="Palatino"/>
                                <w:color w:val="76923C" w:themeColor="accent3" w:themeShade="BF"/>
                                <w:sz w:val="18"/>
                                <w:szCs w:val="18"/>
                              </w:rPr>
                              <w:t xml:space="preserve"> In: Goodfellow, R &amp; Lea, M (eds). Literacy in the digital university: Learning as social practice in a digital world. Research into Higher Education. Abington: Routledge </w:t>
                            </w:r>
                          </w:p>
                          <w:p w14:paraId="4AB721FC" w14:textId="77777777" w:rsidR="003E7848" w:rsidRPr="00FC58C1" w:rsidRDefault="003E7848" w:rsidP="00FC58C1">
                            <w:pPr>
                              <w:rPr>
                                <w:rFonts w:ascii="Palatino" w:hAnsi="Palatino"/>
                                <w:color w:val="76923C" w:themeColor="accent3" w:themeShade="BF"/>
                                <w:sz w:val="18"/>
                                <w:szCs w:val="18"/>
                              </w:rPr>
                            </w:pPr>
                          </w:p>
                          <w:p w14:paraId="7A17A4B5"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 xml:space="preserve">NTCE (2013) NCTE Framework for 21st Century Curriculum and Assessment. Available at: </w:t>
                            </w:r>
                            <w:hyperlink r:id="rId19">
                              <w:r w:rsidRPr="00FC58C1">
                                <w:rPr>
                                  <w:rFonts w:ascii="Palatino" w:hAnsi="Palatino"/>
                                  <w:color w:val="76923C" w:themeColor="accent3" w:themeShade="BF"/>
                                  <w:sz w:val="18"/>
                                  <w:szCs w:val="18"/>
                                </w:rPr>
                                <w:t>http://www.ncte.org/library/NCTEFiles/Resources/Positions/Framework_21stCent_Curr_Assessment.pdf</w:t>
                              </w:r>
                            </w:hyperlink>
                          </w:p>
                          <w:p w14:paraId="7816BA3F"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Rheingold H (2012) Net smarts: How to thrive online. Cambridge: MIT Press</w:t>
                            </w:r>
                          </w:p>
                          <w:p w14:paraId="1AF404E4"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 xml:space="preserve">Sharpe R &amp; Beetham H (2010) Understanding students’ uses of technology for learning: towards creative appropriation. In: R Sharpe, H Beetham &amp; S de Freitas (eds) </w:t>
                            </w:r>
                            <w:hyperlink r:id="rId20" w:history="1">
                              <w:r w:rsidRPr="00FC58C1">
                                <w:rPr>
                                  <w:rFonts w:ascii="Palatino" w:hAnsi="Palatino"/>
                                  <w:color w:val="76923C" w:themeColor="accent3" w:themeShade="BF"/>
                                  <w:sz w:val="18"/>
                                  <w:szCs w:val="18"/>
                                </w:rPr>
                                <w:t>Rethinking learning for the digital age: How learners shape their experiences</w:t>
                              </w:r>
                            </w:hyperlink>
                            <w:r w:rsidRPr="00FC58C1">
                              <w:rPr>
                                <w:rFonts w:ascii="Palatino" w:hAnsi="Palatino"/>
                                <w:color w:val="76923C" w:themeColor="accent3" w:themeShade="BF"/>
                                <w:sz w:val="18"/>
                                <w:szCs w:val="18"/>
                              </w:rPr>
                              <w:t>. London and New York: RoutledgeFalmer</w:t>
                            </w:r>
                          </w:p>
                          <w:p w14:paraId="64144E95" w14:textId="77777777" w:rsidR="003E7848" w:rsidRPr="00B91ED7" w:rsidRDefault="003E7848" w:rsidP="003E7848">
                            <w:pPr>
                              <w:rPr>
                                <w:rFonts w:ascii="Palatino" w:hAnsi="Palatino"/>
                                <w:color w:val="76923C" w:themeColor="accent3" w:themeShade="BF"/>
                                <w:sz w:val="18"/>
                                <w:szCs w:val="18"/>
                              </w:rPr>
                            </w:pP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xmlns:mv="urn:schemas-microsoft-com:mac:vml" xmlns:mo="http://schemas.microsoft.com/office/mac/office/2008/main">
            <w:pict>
              <v:rect id="Rectangle 2" o:spid="_x0000_s1027" style="position:absolute;margin-left:171pt;margin-top:-17.95pt;width:270pt;height:76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" stroked="f">
                <v:textbox>
                  <w:txbxContent>
                    <w:p w14:paraId="5CF4D12F" w14:textId="77777777" w:rsidR="003E7848" w:rsidRPr="00727764" w:rsidRDefault="003E7848" w:rsidP="00E902EA">
                      <w:pPr>
                        <w:pStyle w:val="Heading1"/>
                        <w:contextualSpacing w:val="0"/>
                        <w:rPr>
                          <w:rFonts w:ascii="Minion Pro" w:hAnsi="Minion Pro"/>
                          <w:b/>
                          <w:color w:val="76923C" w:themeColor="accent3" w:themeShade="BF"/>
                          <w:sz w:val="28"/>
                        </w:rPr>
                      </w:pPr>
                      <w:r w:rsidRPr="00727764">
                        <w:rPr>
                          <w:rFonts w:ascii="Minion Pro" w:hAnsi="Minion Pro"/>
                          <w:b/>
                          <w:color w:val="76923C" w:themeColor="accent3" w:themeShade="BF"/>
                          <w:sz w:val="28"/>
                        </w:rPr>
                        <w:t xml:space="preserve">Resources for further reading </w:t>
                      </w:r>
                    </w:p>
                    <w:p w14:paraId="5ECBC8E5" w14:textId="77777777" w:rsidR="003E7848" w:rsidRPr="00B91ED7" w:rsidRDefault="003E7848" w:rsidP="00B91ED7">
                      <w:pPr>
                        <w:rPr>
                          <w:rFonts w:ascii="Palatino" w:hAnsi="Palatino"/>
                          <w:color w:val="76923C" w:themeColor="accent3" w:themeShade="BF"/>
                          <w:sz w:val="18"/>
                          <w:szCs w:val="18"/>
                        </w:rPr>
                      </w:pPr>
                    </w:p>
                    <w:p w14:paraId="3605748C" w14:textId="77777777" w:rsidR="003E7848" w:rsidRPr="00FC58C1" w:rsidRDefault="003E7848" w:rsidP="00FC58C1">
                      <w:pPr>
                        <w:rPr>
                          <w:rFonts w:ascii="Palatino" w:hAnsi="Palatino"/>
                          <w:color w:val="76923C" w:themeColor="accent3" w:themeShade="BF"/>
                          <w:sz w:val="18"/>
                          <w:szCs w:val="18"/>
                        </w:rPr>
                      </w:pPr>
                      <w:r w:rsidRPr="00FC58C1">
                        <w:rPr>
                          <w:rFonts w:ascii="Palatino" w:hAnsi="Palatino"/>
                          <w:color w:val="76923C" w:themeColor="accent3" w:themeShade="BF"/>
                          <w:sz w:val="18"/>
                          <w:szCs w:val="18"/>
                        </w:rPr>
                        <w:t>Czerniewicz L, Cox G, Hodgkinson-Williams C &amp; Willmers M (in press, 2015) Open Education and the Open Scholarship Agenda, a University of Cape Town Perspective. In: C Bonk,</w:t>
                      </w:r>
                      <w:r w:rsidRPr="00FC58C1" w:rsidDel="003B221E">
                        <w:rPr>
                          <w:rFonts w:ascii="Palatino" w:hAnsi="Palatino"/>
                          <w:color w:val="76923C" w:themeColor="accent3" w:themeShade="BF"/>
                          <w:sz w:val="18"/>
                          <w:szCs w:val="18"/>
                        </w:rPr>
                        <w:t xml:space="preserve"> </w:t>
                      </w:r>
                      <w:r w:rsidRPr="00FC58C1">
                        <w:rPr>
                          <w:rFonts w:ascii="Palatino" w:hAnsi="Palatino"/>
                          <w:color w:val="76923C" w:themeColor="accent3" w:themeShade="BF"/>
                          <w:sz w:val="18"/>
                          <w:szCs w:val="18"/>
                        </w:rPr>
                        <w:t>M Lee, T Reeves &amp; T Reynolds (eds)</w:t>
                      </w:r>
                      <w:r w:rsidRPr="00FC58C1" w:rsidDel="003B221E">
                        <w:rPr>
                          <w:rFonts w:ascii="Palatino" w:hAnsi="Palatino"/>
                          <w:color w:val="76923C" w:themeColor="accent3" w:themeShade="BF"/>
                          <w:sz w:val="18"/>
                          <w:szCs w:val="18"/>
                        </w:rPr>
                        <w:t xml:space="preserve"> </w:t>
                      </w:r>
                      <w:r w:rsidRPr="00FC58C1">
                        <w:rPr>
                          <w:rFonts w:ascii="Palatino" w:hAnsi="Palatino"/>
                          <w:color w:val="76923C" w:themeColor="accent3" w:themeShade="BF"/>
                          <w:sz w:val="18"/>
                          <w:szCs w:val="18"/>
                        </w:rPr>
                        <w:t xml:space="preserve">MOOCs and Open Education around the World Routledge. Post-print: </w:t>
                      </w:r>
                      <w:hyperlink r:id="rId23" w:history="1">
                        <w:r w:rsidRPr="00FC58C1">
                          <w:rPr>
                            <w:rFonts w:ascii="Palatino" w:hAnsi="Palatino"/>
                            <w:color w:val="76923C" w:themeColor="accent3" w:themeShade="BF"/>
                            <w:sz w:val="18"/>
                            <w:szCs w:val="18"/>
                          </w:rPr>
                          <w:t>http://open.uct.ac.za/handle/11427/7497</w:t>
                        </w:r>
                      </w:hyperlink>
                      <w:r w:rsidRPr="00FC58C1">
                        <w:rPr>
                          <w:rFonts w:ascii="Palatino" w:hAnsi="Palatino"/>
                          <w:color w:val="76923C" w:themeColor="accent3" w:themeShade="BF"/>
                          <w:sz w:val="18"/>
                          <w:szCs w:val="18"/>
                        </w:rPr>
                        <w:t xml:space="preserve"> </w:t>
                      </w:r>
                    </w:p>
                    <w:p w14:paraId="0A54E6DE" w14:textId="77777777" w:rsidR="003E7848" w:rsidRPr="00FC58C1" w:rsidRDefault="003E7848" w:rsidP="00FC58C1">
                      <w:pPr>
                        <w:rPr>
                          <w:rFonts w:ascii="Palatino" w:hAnsi="Palatino"/>
                          <w:color w:val="76923C" w:themeColor="accent3" w:themeShade="BF"/>
                          <w:sz w:val="18"/>
                          <w:szCs w:val="18"/>
                        </w:rPr>
                      </w:pPr>
                    </w:p>
                    <w:p w14:paraId="41E58AAF"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 xml:space="preserve">Belshaw D (2014) What’s the problem? In The Essentials Elements of Digital Literacies. Available at: </w:t>
                      </w:r>
                      <w:hyperlink r:id="rId24">
                        <w:r w:rsidRPr="00FC58C1">
                          <w:rPr>
                            <w:rFonts w:ascii="Palatino" w:hAnsi="Palatino"/>
                            <w:color w:val="76923C" w:themeColor="accent3" w:themeShade="BF"/>
                            <w:sz w:val="18"/>
                            <w:szCs w:val="18"/>
                          </w:rPr>
                          <w:t>http://digitalliteraci.es/assets/sample.pdf</w:t>
                        </w:r>
                      </w:hyperlink>
                    </w:p>
                    <w:p w14:paraId="1E0631D2"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 xml:space="preserve">Bennett L (2014) Learning from the early adopters: Developing the digital practitioners. Research in Learning technologies 22. Available at: </w:t>
                      </w:r>
                      <w:hyperlink r:id="rId25" w:history="1">
                        <w:r w:rsidRPr="00FC58C1">
                          <w:rPr>
                            <w:rFonts w:ascii="Palatino" w:hAnsi="Palatino"/>
                            <w:color w:val="76923C" w:themeColor="accent3" w:themeShade="BF"/>
                            <w:sz w:val="18"/>
                            <w:szCs w:val="18"/>
                          </w:rPr>
                          <w:t>http://www.researchinlearningtechnology.net/index.php/rlt/article/view/21453</w:t>
                        </w:r>
                      </w:hyperlink>
                    </w:p>
                    <w:p w14:paraId="6EB1FB63"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Boyd DM (2014) It’s complicated: The social lives of networked teens. New Haven &amp; London: Yale University Press</w:t>
                      </w:r>
                    </w:p>
                    <w:p w14:paraId="3D05E459"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 xml:space="preserve">Briggs C &amp; Makice K (2011) Digital fluency: Building success in the digital age. SociaLens. Available at: </w:t>
                      </w:r>
                      <w:hyperlink r:id="rId26">
                        <w:r w:rsidRPr="00FC58C1">
                          <w:rPr>
                            <w:rFonts w:ascii="Palatino" w:hAnsi="Palatino"/>
                            <w:color w:val="76923C" w:themeColor="accent3" w:themeShade="BF"/>
                            <w:sz w:val="18"/>
                            <w:szCs w:val="18"/>
                          </w:rPr>
                          <w:t>http://www.socialens.com/blog/wp-content/uploads/downloads/2012/01/SociaLens_Digital_Fluency_Sample1.pdf</w:t>
                        </w:r>
                      </w:hyperlink>
                      <w:r w:rsidRPr="00FC58C1">
                        <w:rPr>
                          <w:rFonts w:ascii="Palatino" w:hAnsi="Palatino"/>
                          <w:color w:val="76923C" w:themeColor="accent3" w:themeShade="BF"/>
                          <w:sz w:val="18"/>
                          <w:szCs w:val="18"/>
                        </w:rPr>
                        <w:t>.</w:t>
                      </w:r>
                    </w:p>
                    <w:p w14:paraId="26160D04"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Coiro J et al. (2008) Central issues in new literacies and new literacies research. In: J Coiro et al. (eds) Handbook of research on new literacies. Lawrence Erlbaum Associates, pp. 1-21.</w:t>
                      </w:r>
                    </w:p>
                    <w:p w14:paraId="36FE0E66"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 xml:space="preserve">Couros A (2012) Towards digital fluency. Available at: </w:t>
                      </w:r>
                      <w:hyperlink r:id="rId27">
                        <w:r w:rsidRPr="00FC58C1">
                          <w:rPr>
                            <w:rFonts w:ascii="Palatino" w:hAnsi="Palatino"/>
                            <w:color w:val="76923C" w:themeColor="accent3" w:themeShade="BF"/>
                            <w:sz w:val="18"/>
                            <w:szCs w:val="18"/>
                          </w:rPr>
                          <w:t>h</w:t>
                        </w:r>
                      </w:hyperlink>
                      <w:hyperlink r:id="rId28">
                        <w:r w:rsidRPr="00FC58C1">
                          <w:rPr>
                            <w:rFonts w:ascii="Palatino" w:hAnsi="Palatino"/>
                            <w:color w:val="76923C" w:themeColor="accent3" w:themeShade="BF"/>
                            <w:sz w:val="18"/>
                            <w:szCs w:val="18"/>
                          </w:rPr>
                          <w:t>ttp://www.slideshare.net/courosa/towards-digital-fluency</w:t>
                        </w:r>
                      </w:hyperlink>
                    </w:p>
                    <w:p w14:paraId="4B7B1E85"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 xml:space="preserve">Goodfellow R &amp; Lea M (eds) (2013) Literacy in the digital university: Learning as social practice in a digital world. Research into Higher Education. Abington: Routledge </w:t>
                      </w:r>
                    </w:p>
                    <w:p w14:paraId="4D4EA863"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Goodfellow R (2011) Literacy, literacies and the digital in higher education. Teaching in Higher Education, 16(1): 37–41</w:t>
                      </w:r>
                    </w:p>
                    <w:p w14:paraId="5D9EB029"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Greenhow C &amp; Robelia B (2009) Old communication, new literacies: Social network sites as social learning resources. Journal of Computer-Mediated Communication, 14(4): 1130–1161</w:t>
                      </w:r>
                    </w:p>
                    <w:p w14:paraId="2BD8F8B3"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 xml:space="preserve">Johnson L, Adams Becker S, Estrada V &amp; Freeman A (2014) NMC Horizon Report 2014: Higher Education Edition. Austin, Texas: The New Media Consortium. Available at: </w:t>
                      </w:r>
                      <w:hyperlink r:id="rId29">
                        <w:r w:rsidRPr="00FC58C1">
                          <w:rPr>
                            <w:rFonts w:ascii="Palatino" w:hAnsi="Palatino"/>
                            <w:color w:val="76923C" w:themeColor="accent3" w:themeShade="BF"/>
                            <w:sz w:val="18"/>
                            <w:szCs w:val="18"/>
                          </w:rPr>
                          <w:t>http://www.nmc.org/pdf/2014-nmc-horizon-report-he-EN.pdf</w:t>
                        </w:r>
                      </w:hyperlink>
                      <w:r w:rsidRPr="00FC58C1">
                        <w:rPr>
                          <w:rFonts w:ascii="Palatino" w:hAnsi="Palatino"/>
                          <w:color w:val="76923C" w:themeColor="accent3" w:themeShade="BF"/>
                          <w:sz w:val="18"/>
                          <w:szCs w:val="18"/>
                        </w:rPr>
                        <w:t>.</w:t>
                      </w:r>
                    </w:p>
                    <w:p w14:paraId="3DC9C2C5"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Kellner D &amp; Share J (2007) Critical media literacy is not an option. Learning Inquiry 1: 59–69. Available at: http://gseis.ucla.edu/faculty/kellner/essays/2007_Kellner-Share_CML-is-not-Option. pdf</w:t>
                      </w:r>
                    </w:p>
                    <w:p w14:paraId="0041CDF2"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Lea M (2013)</w:t>
                      </w:r>
                      <w:hyperlink r:id="rId30">
                        <w:r w:rsidRPr="00FC58C1">
                          <w:rPr>
                            <w:rFonts w:ascii="Palatino" w:hAnsi="Palatino"/>
                            <w:color w:val="76923C" w:themeColor="accent3" w:themeShade="BF"/>
                            <w:sz w:val="18"/>
                            <w:szCs w:val="18"/>
                          </w:rPr>
                          <w:t xml:space="preserve"> </w:t>
                        </w:r>
                      </w:hyperlink>
                      <w:hyperlink r:id="rId31">
                        <w:r w:rsidRPr="00FC58C1">
                          <w:rPr>
                            <w:rFonts w:ascii="Palatino" w:hAnsi="Palatino"/>
                            <w:color w:val="76923C" w:themeColor="accent3" w:themeShade="BF"/>
                            <w:sz w:val="18"/>
                            <w:szCs w:val="18"/>
                          </w:rPr>
                          <w:t>Academic literacies in the digital university: Integrating individual accounts with network practice.</w:t>
                        </w:r>
                      </w:hyperlink>
                      <w:r w:rsidRPr="00FC58C1">
                        <w:rPr>
                          <w:rFonts w:ascii="Palatino" w:hAnsi="Palatino"/>
                          <w:color w:val="76923C" w:themeColor="accent3" w:themeShade="BF"/>
                          <w:sz w:val="18"/>
                          <w:szCs w:val="18"/>
                        </w:rPr>
                        <w:t xml:space="preserve"> In: Goodfellow, R &amp; Lea, M (eds). Literacy in the digital university: Learning as social practice in a digital world. Research into Higher Education. Abington: Routledge </w:t>
                      </w:r>
                    </w:p>
                    <w:p w14:paraId="4AB721FC" w14:textId="77777777" w:rsidR="003E7848" w:rsidRPr="00FC58C1" w:rsidRDefault="003E7848" w:rsidP="00FC58C1">
                      <w:pPr>
                        <w:rPr>
                          <w:rFonts w:ascii="Palatino" w:hAnsi="Palatino"/>
                          <w:color w:val="76923C" w:themeColor="accent3" w:themeShade="BF"/>
                          <w:sz w:val="18"/>
                          <w:szCs w:val="18"/>
                        </w:rPr>
                      </w:pPr>
                    </w:p>
                    <w:p w14:paraId="7A17A4B5"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 xml:space="preserve">NTCE (2013) NCTE Framework for 21st Century Curriculum and Assessment. Available at: </w:t>
                      </w:r>
                      <w:hyperlink r:id="rId32">
                        <w:r w:rsidRPr="00FC58C1">
                          <w:rPr>
                            <w:rFonts w:ascii="Palatino" w:hAnsi="Palatino"/>
                            <w:color w:val="76923C" w:themeColor="accent3" w:themeShade="BF"/>
                            <w:sz w:val="18"/>
                            <w:szCs w:val="18"/>
                          </w:rPr>
                          <w:t>http://www.ncte.org/library/NCTEFiles/Resources/Positions/Framework_21stCent_Curr_Assessment.pdf</w:t>
                        </w:r>
                      </w:hyperlink>
                    </w:p>
                    <w:p w14:paraId="7816BA3F"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Rheingold H (2012) Net smarts: How to thrive online. Cambridge: MIT Press</w:t>
                      </w:r>
                    </w:p>
                    <w:p w14:paraId="1AF404E4" w14:textId="77777777" w:rsidR="003E7848" w:rsidRPr="00FC58C1" w:rsidRDefault="003E7848" w:rsidP="00FC58C1">
                      <w:pPr>
                        <w:widowControl w:val="0"/>
                        <w:spacing w:after="120" w:line="240" w:lineRule="auto"/>
                        <w:rPr>
                          <w:rFonts w:ascii="Palatino" w:hAnsi="Palatino"/>
                          <w:color w:val="76923C" w:themeColor="accent3" w:themeShade="BF"/>
                          <w:sz w:val="18"/>
                          <w:szCs w:val="18"/>
                        </w:rPr>
                      </w:pPr>
                      <w:r w:rsidRPr="00FC58C1">
                        <w:rPr>
                          <w:rFonts w:ascii="Palatino" w:hAnsi="Palatino"/>
                          <w:color w:val="76923C" w:themeColor="accent3" w:themeShade="BF"/>
                          <w:sz w:val="18"/>
                          <w:szCs w:val="18"/>
                        </w:rPr>
                        <w:t xml:space="preserve">Sharpe R &amp; Beetham H (2010) Understanding students’ uses of technology for learning: towards creative appropriation. In: R Sharpe, H Beetham &amp; S de Freitas (eds) </w:t>
                      </w:r>
                      <w:hyperlink r:id="rId33" w:history="1">
                        <w:r w:rsidRPr="00FC58C1">
                          <w:rPr>
                            <w:rFonts w:ascii="Palatino" w:hAnsi="Palatino"/>
                            <w:color w:val="76923C" w:themeColor="accent3" w:themeShade="BF"/>
                            <w:sz w:val="18"/>
                            <w:szCs w:val="18"/>
                          </w:rPr>
                          <w:t>Rethinking learning for the digital age: How learners shape their experiences</w:t>
                        </w:r>
                      </w:hyperlink>
                      <w:r w:rsidRPr="00FC58C1">
                        <w:rPr>
                          <w:rFonts w:ascii="Palatino" w:hAnsi="Palatino"/>
                          <w:color w:val="76923C" w:themeColor="accent3" w:themeShade="BF"/>
                          <w:sz w:val="18"/>
                          <w:szCs w:val="18"/>
                        </w:rPr>
                        <w:t>. London and New York: RoutledgeFalmer</w:t>
                      </w:r>
                    </w:p>
                    <w:p w14:paraId="64144E95" w14:textId="77777777" w:rsidR="003E7848" w:rsidRPr="00B91ED7" w:rsidRDefault="003E7848" w:rsidP="003E7848">
                      <w:pPr>
                        <w:rPr>
                          <w:rFonts w:ascii="Palatino" w:hAnsi="Palatino"/>
                          <w:color w:val="76923C" w:themeColor="accent3" w:themeShade="BF"/>
                          <w:sz w:val="18"/>
                          <w:szCs w:val="18"/>
                        </w:rPr>
                      </w:pPr>
                    </w:p>
                  </w:txbxContent>
                </v:textbox>
                <w10:wrap type="square"/>
              </v:rect>
            </w:pict>
          </mc:Fallback>
        </mc:AlternateContent>
      </w:r>
      <w:r w:rsidRPr="003B7EC6">
        <w:rPr>
          <w:rFonts w:ascii="Minion Pro" w:hAnsi="Minion Pro"/>
          <w:b/>
          <w:color w:val="76923C" w:themeColor="accent3" w:themeShade="BF"/>
          <w:sz w:val="40"/>
          <w:szCs w:val="44"/>
        </w:rPr>
        <w:t>Recommendations</w:t>
      </w:r>
      <w:r>
        <w:t xml:space="preserve"> </w:t>
      </w:r>
    </w:p>
    <w:p w14:paraId="590D2807" w14:textId="523C951D" w:rsidR="003E7848" w:rsidRPr="003E7848" w:rsidRDefault="003E7848" w:rsidP="00FC58C1">
      <w:pPr>
        <w:widowControl w:val="0"/>
        <w:numPr>
          <w:ilvl w:val="0"/>
          <w:numId w:val="11"/>
        </w:numPr>
        <w:spacing w:line="360" w:lineRule="auto"/>
        <w:ind w:left="426" w:hanging="426"/>
        <w:contextualSpacing/>
        <w:jc w:val="both"/>
        <w:rPr>
          <w:rFonts w:ascii="Minion Pro" w:hAnsi="Minion Pro"/>
          <w:sz w:val="24"/>
        </w:rPr>
      </w:pPr>
      <w:r w:rsidRPr="003E7848">
        <w:rPr>
          <w:rFonts w:ascii="Minion Pro" w:hAnsi="Minion Pro"/>
        </w:rPr>
        <w:t>Digital literacies need to be thought of as more than computer literacy, as the concept encompasses a range of practices, including computer literacy, information literacy, media literacy, communication literacy, visual literacy and technology literacy.</w:t>
      </w:r>
    </w:p>
    <w:p w14:paraId="68C58537" w14:textId="77777777" w:rsidR="003E7848" w:rsidRPr="003E7848" w:rsidRDefault="003E7848" w:rsidP="00FC58C1">
      <w:pPr>
        <w:widowControl w:val="0"/>
        <w:numPr>
          <w:ilvl w:val="0"/>
          <w:numId w:val="11"/>
        </w:numPr>
        <w:spacing w:line="360" w:lineRule="auto"/>
        <w:ind w:left="426" w:hanging="426"/>
        <w:contextualSpacing/>
        <w:jc w:val="both"/>
        <w:rPr>
          <w:rFonts w:ascii="Minion Pro" w:hAnsi="Minion Pro"/>
          <w:sz w:val="24"/>
        </w:rPr>
      </w:pPr>
      <w:r w:rsidRPr="003E7848">
        <w:rPr>
          <w:rFonts w:ascii="Minion Pro" w:hAnsi="Minion Pro"/>
        </w:rPr>
        <w:t>Digital literacies should not be equated with as computer literacy, as digital literacies do not depend on the computer as a device. Many students interact with the Internet via cellphones very successfully, even before they have learned to use computers.</w:t>
      </w:r>
    </w:p>
    <w:p w14:paraId="7C9477E0" w14:textId="77777777" w:rsidR="003E7848" w:rsidRPr="003E7848" w:rsidRDefault="003E7848" w:rsidP="00FC58C1">
      <w:pPr>
        <w:widowControl w:val="0"/>
        <w:numPr>
          <w:ilvl w:val="0"/>
          <w:numId w:val="11"/>
        </w:numPr>
        <w:spacing w:line="360" w:lineRule="auto"/>
        <w:ind w:left="426" w:hanging="426"/>
        <w:contextualSpacing/>
        <w:jc w:val="both"/>
        <w:rPr>
          <w:rFonts w:ascii="Minion Pro" w:hAnsi="Minion Pro"/>
          <w:sz w:val="24"/>
        </w:rPr>
      </w:pPr>
      <w:r w:rsidRPr="003E7848">
        <w:rPr>
          <w:rFonts w:ascii="Minion Pro" w:hAnsi="Minion Pro"/>
        </w:rPr>
        <w:t>The focus needs to be on successful learning practices. What do students need to survive and thrive as learners in the 21</w:t>
      </w:r>
      <w:r w:rsidRPr="003E7848">
        <w:rPr>
          <w:rFonts w:ascii="Minion Pro" w:hAnsi="Minion Pro"/>
          <w:vertAlign w:val="superscript"/>
        </w:rPr>
        <w:t>st</w:t>
      </w:r>
      <w:r w:rsidRPr="003E7848">
        <w:rPr>
          <w:rFonts w:ascii="Minion Pro" w:hAnsi="Minion Pro"/>
        </w:rPr>
        <w:t xml:space="preserve"> century?</w:t>
      </w:r>
    </w:p>
    <w:p w14:paraId="66C7D7F7" w14:textId="77777777" w:rsidR="003E7848" w:rsidRPr="00FC58C1" w:rsidRDefault="003E7848" w:rsidP="00FC58C1">
      <w:pPr>
        <w:widowControl w:val="0"/>
        <w:numPr>
          <w:ilvl w:val="0"/>
          <w:numId w:val="11"/>
        </w:numPr>
        <w:spacing w:line="360" w:lineRule="auto"/>
        <w:ind w:left="426" w:hanging="426"/>
        <w:contextualSpacing/>
        <w:jc w:val="both"/>
        <w:rPr>
          <w:rFonts w:ascii="Minion Pro" w:hAnsi="Minion Pro"/>
        </w:rPr>
      </w:pPr>
      <w:r w:rsidRPr="003E7848">
        <w:rPr>
          <w:rFonts w:ascii="Minion Pro" w:hAnsi="Minion Pro"/>
        </w:rPr>
        <w:t xml:space="preserve">Digital literacies need to be learnt in the context of specific disciplines, and therefore must be embedded in courses and subjects. </w:t>
      </w:r>
    </w:p>
    <w:p w14:paraId="605CF891" w14:textId="057EA097" w:rsidR="000F75F2" w:rsidRPr="000F75F2" w:rsidRDefault="003E7848" w:rsidP="000F75F2">
      <w:pPr>
        <w:widowControl w:val="0"/>
        <w:numPr>
          <w:ilvl w:val="0"/>
          <w:numId w:val="11"/>
        </w:numPr>
        <w:spacing w:line="360" w:lineRule="auto"/>
        <w:ind w:left="426" w:hanging="426"/>
        <w:contextualSpacing/>
        <w:jc w:val="both"/>
        <w:rPr>
          <w:sz w:val="24"/>
        </w:rPr>
      </w:pPr>
      <w:r w:rsidRPr="003E7848">
        <w:rPr>
          <w:rFonts w:ascii="Minion Pro" w:hAnsi="Minion Pro"/>
        </w:rPr>
        <w:t xml:space="preserve">Digital literacies are cross cutting and multi-disciplinary. They are embedded in the entire </w:t>
      </w:r>
      <w:r w:rsidRPr="003E7848">
        <w:rPr>
          <w:rFonts w:ascii="Minion Pro" w:hAnsi="Minion Pro"/>
        </w:rPr>
        <w:lastRenderedPageBreak/>
        <w:t>learning process, from finding information</w:t>
      </w:r>
      <w:r>
        <w:t>, to evaluating it critically, to being able to present it electronically and responsibly.</w:t>
      </w:r>
      <w:r w:rsidR="000F75F2">
        <w:rPr>
          <w:sz w:val="24"/>
        </w:rPr>
        <w:br/>
      </w:r>
    </w:p>
    <w:p w14:paraId="1C0E0FD2" w14:textId="77777777" w:rsidR="003E7848" w:rsidRPr="00557A9F" w:rsidRDefault="003E7848" w:rsidP="003E7848">
      <w:r w:rsidRPr="003E7848">
        <w:rPr>
          <w:rFonts w:ascii="Minion Pro" w:hAnsi="Minion Pro"/>
          <w:sz w:val="32"/>
        </w:rPr>
        <w:t>References</w:t>
      </w:r>
    </w:p>
    <w:p w14:paraId="64699E1A" w14:textId="77777777" w:rsidR="00FC58C1" w:rsidRDefault="00FC58C1" w:rsidP="003E7848">
      <w:pPr>
        <w:widowControl w:val="0"/>
        <w:spacing w:after="120" w:line="240" w:lineRule="auto"/>
        <w:rPr>
          <w:rFonts w:ascii="Minion Pro" w:hAnsi="Minion Pro"/>
        </w:rPr>
        <w:sectPr w:rsidR="00FC58C1" w:rsidSect="00FC58C1">
          <w:headerReference w:type="default" r:id="rId34"/>
          <w:footerReference w:type="even" r:id="rId35"/>
          <w:footerReference w:type="default" r:id="rId36"/>
          <w:headerReference w:type="first" r:id="rId37"/>
          <w:pgSz w:w="11900" w:h="16840"/>
          <w:pgMar w:top="1418" w:right="1410" w:bottom="1440" w:left="1800" w:header="708" w:footer="708" w:gutter="0"/>
          <w:cols w:space="708"/>
          <w:titlePg/>
          <w:docGrid w:linePitch="360"/>
        </w:sectPr>
      </w:pPr>
    </w:p>
    <w:p w14:paraId="645F969D" w14:textId="77777777" w:rsidR="000F75F2" w:rsidRDefault="000F75F2" w:rsidP="00FC58C1">
      <w:pPr>
        <w:widowControl w:val="0"/>
        <w:spacing w:after="120" w:line="240" w:lineRule="auto"/>
        <w:jc w:val="both"/>
        <w:rPr>
          <w:rFonts w:ascii="Minion Pro" w:hAnsi="Minion Pro"/>
          <w:sz w:val="20"/>
        </w:rPr>
      </w:pPr>
    </w:p>
    <w:p w14:paraId="16BCEFB9" w14:textId="0815E1C9" w:rsidR="003E7848" w:rsidRPr="003B7EC6" w:rsidRDefault="003E7848" w:rsidP="00FC58C1">
      <w:pPr>
        <w:widowControl w:val="0"/>
        <w:spacing w:after="120" w:line="240" w:lineRule="auto"/>
        <w:jc w:val="both"/>
        <w:rPr>
          <w:rFonts w:ascii="Minion Pro" w:hAnsi="Minion Pro"/>
          <w:sz w:val="20"/>
        </w:rPr>
      </w:pPr>
      <w:r w:rsidRPr="003B7EC6">
        <w:rPr>
          <w:rFonts w:ascii="Minion Pro" w:hAnsi="Minion Pro"/>
          <w:sz w:val="20"/>
        </w:rPr>
        <w:t xml:space="preserve">Asher A, Duke L &amp; Green, D (2010) The ERIAL Project: Ethnographic Research in Illinois Academic Libraries. Academic Commons, May 2010, ‘Advancing Towards Liberal Arts 3.0’ http://www.academiccommons.org/commons/essay/erialproject cited in </w:t>
      </w:r>
      <w:hyperlink r:id="rId38" w:history="1">
        <w:r w:rsidRPr="003B7EC6">
          <w:rPr>
            <w:rStyle w:val="Hyperlink"/>
            <w:rFonts w:ascii="Minion Pro" w:hAnsi="Minion Pro"/>
            <w:sz w:val="20"/>
          </w:rPr>
          <w:t>http://lisagoldresearch.wordpress.com/2011/08/22/yet-another-study-shows-that-digital-natives-suck-atsearching/</w:t>
        </w:r>
      </w:hyperlink>
    </w:p>
    <w:p w14:paraId="33A9325F" w14:textId="77777777" w:rsidR="000F75F2" w:rsidRDefault="000F75F2" w:rsidP="00FC58C1">
      <w:pPr>
        <w:widowControl w:val="0"/>
        <w:spacing w:after="120" w:line="240" w:lineRule="auto"/>
        <w:jc w:val="both"/>
        <w:rPr>
          <w:rFonts w:ascii="Minion Pro" w:hAnsi="Minion Pro"/>
          <w:sz w:val="20"/>
        </w:rPr>
      </w:pPr>
    </w:p>
    <w:p w14:paraId="412E2215" w14:textId="4A838C46" w:rsidR="00FC58C1" w:rsidRPr="003B7EC6" w:rsidRDefault="003E7848" w:rsidP="00FC58C1">
      <w:pPr>
        <w:widowControl w:val="0"/>
        <w:spacing w:after="120" w:line="240" w:lineRule="auto"/>
        <w:jc w:val="both"/>
        <w:rPr>
          <w:rFonts w:ascii="Minion Pro" w:hAnsi="Minion Pro"/>
          <w:color w:val="0000FF" w:themeColor="hyperlink"/>
          <w:sz w:val="20"/>
          <w:u w:val="single"/>
        </w:rPr>
      </w:pPr>
      <w:r w:rsidRPr="003B7EC6">
        <w:rPr>
          <w:rFonts w:ascii="Minion Pro" w:hAnsi="Minion Pro"/>
          <w:sz w:val="20"/>
        </w:rPr>
        <w:t xml:space="preserve">Barnes V, Gachago D &amp; Ivala E (2015) Digital storytelling in industrial design. In: PC Layne &amp; P Lane (eds) </w:t>
      </w:r>
      <w:r w:rsidRPr="003B7EC6">
        <w:rPr>
          <w:rFonts w:ascii="Minion Pro" w:hAnsi="Minion Pro"/>
          <w:i/>
          <w:sz w:val="20"/>
        </w:rPr>
        <w:t>Global Innovation of Teaching and Learning in Higher Education</w:t>
      </w:r>
      <w:r w:rsidRPr="003B7EC6">
        <w:rPr>
          <w:rFonts w:ascii="Minion Pro" w:hAnsi="Minion Pro"/>
          <w:sz w:val="20"/>
        </w:rPr>
        <w:t xml:space="preserve">. Springer: 47-69. Available at: </w:t>
      </w:r>
      <w:hyperlink r:id="rId39" w:history="1">
        <w:r w:rsidRPr="003B7EC6">
          <w:rPr>
            <w:rStyle w:val="Hyperlink"/>
            <w:rFonts w:ascii="Minion Pro" w:hAnsi="Minion Pro"/>
            <w:sz w:val="20"/>
          </w:rPr>
          <w:t>http://link.springer.com/chapter/10.1007/978-3-319-10482-9_4 </w:t>
        </w:r>
      </w:hyperlink>
    </w:p>
    <w:p w14:paraId="3EB5C85D" w14:textId="77777777" w:rsidR="000F75F2" w:rsidRDefault="000F75F2" w:rsidP="00FC58C1">
      <w:pPr>
        <w:widowControl w:val="0"/>
        <w:spacing w:after="120" w:line="240" w:lineRule="auto"/>
        <w:jc w:val="both"/>
        <w:rPr>
          <w:rFonts w:ascii="Minion Pro" w:hAnsi="Minion Pro"/>
          <w:sz w:val="20"/>
        </w:rPr>
      </w:pPr>
    </w:p>
    <w:p w14:paraId="72D8D5C0" w14:textId="7CFE3149" w:rsidR="003E7848" w:rsidRPr="003B7EC6" w:rsidRDefault="003E7848" w:rsidP="00FC58C1">
      <w:pPr>
        <w:widowControl w:val="0"/>
        <w:spacing w:after="120" w:line="240" w:lineRule="auto"/>
        <w:jc w:val="both"/>
        <w:rPr>
          <w:rFonts w:ascii="Minion Pro" w:hAnsi="Minion Pro"/>
          <w:sz w:val="20"/>
        </w:rPr>
      </w:pPr>
      <w:r w:rsidRPr="003B7EC6">
        <w:rPr>
          <w:rFonts w:ascii="Minion Pro" w:hAnsi="Minion Pro"/>
          <w:sz w:val="20"/>
        </w:rPr>
        <w:t xml:space="preserve">Beetham H &amp; Sharpe R (2011) Digital literacies workshop. Paper presented at the JISC Learning Literacies Workshop, Birmingham [online], Available at: </w:t>
      </w:r>
      <w:hyperlink r:id="rId40" w:tgtFrame="_base" w:history="1">
        <w:r w:rsidRPr="003B7EC6">
          <w:rPr>
            <w:rFonts w:ascii="Minion Pro" w:hAnsi="Minion Pro"/>
            <w:sz w:val="20"/>
          </w:rPr>
          <w:t>http://jiscdesignstudio.pbworks.com/w/page/40474566/JISC Digital Literacy Workshop materials</w:t>
        </w:r>
      </w:hyperlink>
    </w:p>
    <w:p w14:paraId="14B0B47A" w14:textId="77777777" w:rsidR="000F75F2" w:rsidRDefault="000F75F2" w:rsidP="00FC58C1">
      <w:pPr>
        <w:widowControl w:val="0"/>
        <w:spacing w:after="120" w:line="240" w:lineRule="auto"/>
        <w:jc w:val="both"/>
        <w:rPr>
          <w:rFonts w:ascii="Minion Pro" w:hAnsi="Minion Pro"/>
          <w:sz w:val="20"/>
        </w:rPr>
      </w:pPr>
    </w:p>
    <w:p w14:paraId="038D1C3E" w14:textId="5ED46197" w:rsidR="003E7848" w:rsidRPr="003B7EC6" w:rsidRDefault="003E7848" w:rsidP="00FC58C1">
      <w:pPr>
        <w:widowControl w:val="0"/>
        <w:spacing w:after="120" w:line="240" w:lineRule="auto"/>
        <w:jc w:val="both"/>
        <w:rPr>
          <w:rFonts w:ascii="Minion Pro" w:hAnsi="Minion Pro"/>
          <w:sz w:val="20"/>
        </w:rPr>
      </w:pPr>
      <w:r w:rsidRPr="003B7EC6">
        <w:rPr>
          <w:rFonts w:ascii="Minion Pro" w:hAnsi="Minion Pro"/>
          <w:sz w:val="20"/>
        </w:rPr>
        <w:t xml:space="preserve">Brown C &amp; Czerniewicz L (2010) Debunking the ‘digital native’: Beyond digital apartheid, towards digital democracy. </w:t>
      </w:r>
      <w:r w:rsidRPr="003B7EC6">
        <w:rPr>
          <w:rFonts w:ascii="Minion Pro" w:hAnsi="Minion Pro"/>
          <w:i/>
          <w:sz w:val="20"/>
        </w:rPr>
        <w:t>Journal of Computer Assisted Learning</w:t>
      </w:r>
      <w:r w:rsidRPr="003B7EC6">
        <w:rPr>
          <w:rFonts w:ascii="Minion Pro" w:hAnsi="Minion Pro"/>
          <w:sz w:val="20"/>
        </w:rPr>
        <w:t xml:space="preserve"> 26(5): 357–369</w:t>
      </w:r>
    </w:p>
    <w:p w14:paraId="0E2D6856" w14:textId="77777777" w:rsidR="000F75F2" w:rsidRDefault="000F75F2" w:rsidP="00FC58C1">
      <w:pPr>
        <w:widowControl w:val="0"/>
        <w:spacing w:after="120" w:line="240" w:lineRule="auto"/>
        <w:jc w:val="both"/>
        <w:rPr>
          <w:rFonts w:ascii="Minion Pro" w:hAnsi="Minion Pro"/>
          <w:sz w:val="20"/>
        </w:rPr>
      </w:pPr>
    </w:p>
    <w:p w14:paraId="578122CE" w14:textId="5A085EE5" w:rsidR="003E7848" w:rsidRPr="003B7EC6" w:rsidRDefault="003E7848" w:rsidP="00FC58C1">
      <w:pPr>
        <w:widowControl w:val="0"/>
        <w:spacing w:after="120" w:line="240" w:lineRule="auto"/>
        <w:jc w:val="both"/>
        <w:rPr>
          <w:rFonts w:ascii="Minion Pro" w:hAnsi="Minion Pro"/>
          <w:sz w:val="20"/>
        </w:rPr>
      </w:pPr>
      <w:r w:rsidRPr="003B7EC6">
        <w:rPr>
          <w:rFonts w:ascii="Minion Pro" w:hAnsi="Minion Pro"/>
          <w:sz w:val="20"/>
        </w:rPr>
        <w:t xml:space="preserve">Brown C (2012) University students as digital migrants. </w:t>
      </w:r>
      <w:r w:rsidRPr="003B7EC6">
        <w:rPr>
          <w:rFonts w:ascii="Minion Pro" w:hAnsi="Minion Pro"/>
          <w:i/>
          <w:sz w:val="20"/>
        </w:rPr>
        <w:t>Language and Literacy</w:t>
      </w:r>
      <w:r w:rsidRPr="003B7EC6">
        <w:rPr>
          <w:rFonts w:ascii="Minion Pro" w:hAnsi="Minion Pro"/>
          <w:sz w:val="20"/>
        </w:rPr>
        <w:t xml:space="preserve"> 14(2): 41–61 Available at: </w:t>
      </w:r>
      <w:hyperlink r:id="rId41" w:history="1">
        <w:r w:rsidRPr="003B7EC6">
          <w:rPr>
            <w:rFonts w:ascii="Minion Pro" w:hAnsi="Minion Pro"/>
            <w:sz w:val="20"/>
          </w:rPr>
          <w:t>http://ejournals.library.ualberta.ca/index.php/langandlit/issue/view/1371</w:t>
        </w:r>
      </w:hyperlink>
      <w:r w:rsidR="003B7EC6">
        <w:rPr>
          <w:rFonts w:ascii="Minion Pro" w:hAnsi="Minion Pro"/>
          <w:sz w:val="20"/>
        </w:rPr>
        <w:t xml:space="preserve"> </w:t>
      </w:r>
    </w:p>
    <w:p w14:paraId="00BEB828" w14:textId="77777777" w:rsidR="000F75F2" w:rsidRDefault="000F75F2" w:rsidP="00FC58C1">
      <w:pPr>
        <w:widowControl w:val="0"/>
        <w:spacing w:after="120" w:line="240" w:lineRule="auto"/>
        <w:jc w:val="both"/>
        <w:rPr>
          <w:rFonts w:ascii="Minion Pro" w:hAnsi="Minion Pro"/>
          <w:sz w:val="20"/>
        </w:rPr>
      </w:pPr>
    </w:p>
    <w:p w14:paraId="15CE503A" w14:textId="7F08695B" w:rsidR="003B7EC6" w:rsidRPr="003B7EC6" w:rsidRDefault="003E7848" w:rsidP="00FC58C1">
      <w:pPr>
        <w:widowControl w:val="0"/>
        <w:spacing w:after="120" w:line="240" w:lineRule="auto"/>
        <w:jc w:val="both"/>
        <w:rPr>
          <w:rFonts w:ascii="Minion Pro" w:hAnsi="Minion Pro"/>
          <w:sz w:val="20"/>
        </w:rPr>
      </w:pPr>
      <w:r w:rsidRPr="003B7EC6">
        <w:rPr>
          <w:rFonts w:ascii="Minion Pro" w:hAnsi="Minion Pro"/>
          <w:sz w:val="20"/>
        </w:rPr>
        <w:t xml:space="preserve">Cronje F (2012) Extreme Blogging as Teaching Methodology, eMerge Conference, Oxford 2012 </w:t>
      </w:r>
    </w:p>
    <w:p w14:paraId="615351FC" w14:textId="77777777" w:rsidR="000F75F2" w:rsidRDefault="000F75F2" w:rsidP="00FC58C1">
      <w:pPr>
        <w:widowControl w:val="0"/>
        <w:spacing w:after="120" w:line="240" w:lineRule="auto"/>
        <w:jc w:val="both"/>
        <w:rPr>
          <w:rFonts w:ascii="Minion Pro" w:hAnsi="Minion Pro"/>
          <w:sz w:val="20"/>
        </w:rPr>
      </w:pPr>
    </w:p>
    <w:p w14:paraId="612D1E3F" w14:textId="65E38484" w:rsidR="000F75F2" w:rsidRDefault="003E7848" w:rsidP="00FC58C1">
      <w:pPr>
        <w:widowControl w:val="0"/>
        <w:spacing w:after="120" w:line="240" w:lineRule="auto"/>
        <w:jc w:val="both"/>
        <w:rPr>
          <w:rFonts w:ascii="Minion Pro" w:hAnsi="Minion Pro"/>
          <w:sz w:val="20"/>
        </w:rPr>
      </w:pPr>
      <w:r w:rsidRPr="003B7EC6">
        <w:rPr>
          <w:rFonts w:ascii="Minion Pro" w:hAnsi="Minion Pro"/>
          <w:sz w:val="20"/>
        </w:rPr>
        <w:t xml:space="preserve">Deacon A, Morrison A &amp; Stadler J (2005) Designing for learning through multimodal production: Film narrative and spectatorship in Director's Cut. </w:t>
      </w:r>
      <w:r w:rsidRPr="003B7EC6">
        <w:rPr>
          <w:rFonts w:ascii="Minion Pro" w:hAnsi="Minion Pro"/>
          <w:i/>
          <w:sz w:val="20"/>
        </w:rPr>
        <w:t xml:space="preserve">International Journal of </w:t>
      </w:r>
      <w:r w:rsidRPr="003B7EC6">
        <w:rPr>
          <w:rFonts w:ascii="Minion Pro" w:hAnsi="Minion Pro"/>
          <w:i/>
          <w:sz w:val="20"/>
        </w:rPr>
        <w:lastRenderedPageBreak/>
        <w:t>Education and Development using Information and CommunicationsTechnology</w:t>
      </w:r>
      <w:r w:rsidRPr="003B7EC6">
        <w:rPr>
          <w:rFonts w:ascii="Minion Pro" w:hAnsi="Minion Pro"/>
          <w:sz w:val="20"/>
        </w:rPr>
        <w:t xml:space="preserve"> 1(1). Available at: </w:t>
      </w:r>
      <w:hyperlink r:id="rId42" w:history="1">
        <w:r w:rsidRPr="003B7EC6">
          <w:rPr>
            <w:rStyle w:val="Hyperlink"/>
            <w:rFonts w:ascii="Minion Pro" w:hAnsi="Minion Pro"/>
            <w:sz w:val="20"/>
          </w:rPr>
          <w:t>http://ijedict.dec.uwi.edu/viewarticle.php?id=26&amp;layout=html</w:t>
        </w:r>
      </w:hyperlink>
    </w:p>
    <w:p w14:paraId="3F29FEE9" w14:textId="547D2CD1" w:rsidR="003E7848" w:rsidRPr="003B7EC6" w:rsidRDefault="003E7848" w:rsidP="00FC58C1">
      <w:pPr>
        <w:widowControl w:val="0"/>
        <w:spacing w:after="120" w:line="240" w:lineRule="auto"/>
        <w:jc w:val="both"/>
        <w:rPr>
          <w:rFonts w:ascii="Minion Pro" w:hAnsi="Minion Pro"/>
          <w:sz w:val="20"/>
        </w:rPr>
      </w:pPr>
      <w:r w:rsidRPr="003B7EC6">
        <w:rPr>
          <w:rFonts w:ascii="Minion Pro" w:hAnsi="Minion Pro"/>
          <w:sz w:val="20"/>
        </w:rPr>
        <w:t xml:space="preserve">Department of Higher Education and Training (2012) Green paper for post-secondary Education and Training. Pretoria: DHET </w:t>
      </w:r>
    </w:p>
    <w:p w14:paraId="42F1F1A6" w14:textId="77777777" w:rsidR="000F75F2" w:rsidRDefault="000F75F2" w:rsidP="00FC58C1">
      <w:pPr>
        <w:widowControl w:val="0"/>
        <w:spacing w:after="120" w:line="240" w:lineRule="auto"/>
        <w:jc w:val="both"/>
        <w:rPr>
          <w:rFonts w:ascii="Minion Pro" w:hAnsi="Minion Pro"/>
          <w:sz w:val="20"/>
        </w:rPr>
      </w:pPr>
    </w:p>
    <w:p w14:paraId="4924F966" w14:textId="1AEE4C4D" w:rsidR="003E7848" w:rsidRPr="003B7EC6" w:rsidRDefault="003E7848" w:rsidP="00FC58C1">
      <w:pPr>
        <w:widowControl w:val="0"/>
        <w:spacing w:after="120" w:line="240" w:lineRule="auto"/>
        <w:jc w:val="both"/>
        <w:rPr>
          <w:rFonts w:ascii="Minion Pro" w:hAnsi="Minion Pro"/>
          <w:sz w:val="20"/>
        </w:rPr>
      </w:pPr>
      <w:r w:rsidRPr="003B7EC6">
        <w:rPr>
          <w:rFonts w:ascii="Minion Pro" w:hAnsi="Minion Pro"/>
          <w:sz w:val="20"/>
        </w:rPr>
        <w:t xml:space="preserve">Goodfellow R &amp; Lea MR (2013) Literacy, the digital, and the university. In: R Goodfellow and MR Lea (eds) </w:t>
      </w:r>
      <w:hyperlink r:id="rId43" w:history="1">
        <w:r w:rsidRPr="003B7EC6">
          <w:rPr>
            <w:rFonts w:ascii="Minion Pro" w:hAnsi="Minion Pro"/>
            <w:i/>
            <w:sz w:val="20"/>
          </w:rPr>
          <w:t>Literacy in the digital university: Critical perspectives on learning, scholarship, and technology.</w:t>
        </w:r>
      </w:hyperlink>
      <w:r w:rsidRPr="003B7EC6">
        <w:rPr>
          <w:rFonts w:ascii="Minion Pro" w:hAnsi="Minion Pro"/>
          <w:sz w:val="20"/>
        </w:rPr>
        <w:t xml:space="preserve"> </w:t>
      </w:r>
      <w:r w:rsidRPr="003B7EC6">
        <w:rPr>
          <w:rFonts w:ascii="Minion Pro" w:hAnsi="Minion Pro"/>
          <w:i/>
          <w:sz w:val="20"/>
        </w:rPr>
        <w:t>Research into Higher Education</w:t>
      </w:r>
      <w:r w:rsidRPr="003B7EC6">
        <w:rPr>
          <w:rFonts w:ascii="Minion Pro" w:hAnsi="Minion Pro"/>
          <w:sz w:val="20"/>
        </w:rPr>
        <w:t>. Abingdon: Routledge</w:t>
      </w:r>
    </w:p>
    <w:p w14:paraId="11E6C9DB" w14:textId="77777777" w:rsidR="000F75F2" w:rsidRDefault="000F75F2" w:rsidP="00FC58C1">
      <w:pPr>
        <w:widowControl w:val="0"/>
        <w:spacing w:after="120" w:line="240" w:lineRule="auto"/>
        <w:jc w:val="both"/>
        <w:rPr>
          <w:rFonts w:ascii="Minion Pro" w:hAnsi="Minion Pro"/>
          <w:sz w:val="20"/>
        </w:rPr>
      </w:pPr>
    </w:p>
    <w:p w14:paraId="2A80A635" w14:textId="56D058AD" w:rsidR="003E7848" w:rsidRPr="003B7EC6" w:rsidRDefault="003E7848" w:rsidP="00FC58C1">
      <w:pPr>
        <w:widowControl w:val="0"/>
        <w:spacing w:after="120" w:line="240" w:lineRule="auto"/>
        <w:jc w:val="both"/>
        <w:rPr>
          <w:rFonts w:ascii="Minion Pro" w:hAnsi="Minion Pro"/>
          <w:sz w:val="20"/>
        </w:rPr>
      </w:pPr>
      <w:r w:rsidRPr="003B7EC6">
        <w:rPr>
          <w:rFonts w:ascii="Minion Pro" w:hAnsi="Minion Pro"/>
          <w:sz w:val="20"/>
        </w:rPr>
        <w:t xml:space="preserve">Hargittai E (2010) Digital Na(t)ives? Variation in internet skills and uses among members of the ‘‘net generation’’. </w:t>
      </w:r>
      <w:r w:rsidRPr="003B7EC6">
        <w:rPr>
          <w:rFonts w:ascii="Minion Pro" w:hAnsi="Minion Pro"/>
          <w:i/>
          <w:sz w:val="20"/>
        </w:rPr>
        <w:t>Sociological Inquiry</w:t>
      </w:r>
      <w:r w:rsidRPr="003B7EC6">
        <w:rPr>
          <w:rFonts w:ascii="Minion Pro" w:hAnsi="Minion Pro"/>
          <w:sz w:val="20"/>
        </w:rPr>
        <w:t xml:space="preserve"> 80(1): 92–113</w:t>
      </w:r>
    </w:p>
    <w:p w14:paraId="2313D6C6" w14:textId="77777777" w:rsidR="000F75F2" w:rsidRDefault="000F75F2" w:rsidP="00FC58C1">
      <w:pPr>
        <w:widowControl w:val="0"/>
        <w:spacing w:after="120" w:line="240" w:lineRule="auto"/>
        <w:jc w:val="both"/>
        <w:rPr>
          <w:rFonts w:ascii="Minion Pro" w:hAnsi="Minion Pro"/>
          <w:sz w:val="20"/>
        </w:rPr>
      </w:pPr>
    </w:p>
    <w:p w14:paraId="2475052A" w14:textId="5DDA8457" w:rsidR="003E7848" w:rsidRPr="003B7EC6" w:rsidRDefault="003E7848" w:rsidP="00FC58C1">
      <w:pPr>
        <w:widowControl w:val="0"/>
        <w:spacing w:after="120" w:line="240" w:lineRule="auto"/>
        <w:jc w:val="both"/>
        <w:rPr>
          <w:rFonts w:ascii="Minion Pro" w:hAnsi="Minion Pro"/>
          <w:sz w:val="20"/>
        </w:rPr>
      </w:pPr>
      <w:r w:rsidRPr="003B7EC6">
        <w:rPr>
          <w:rFonts w:ascii="Minion Pro" w:hAnsi="Minion Pro"/>
          <w:sz w:val="20"/>
        </w:rPr>
        <w:t xml:space="preserve">Haupt A (2008) </w:t>
      </w:r>
      <w:r w:rsidRPr="003B7EC6">
        <w:rPr>
          <w:rFonts w:ascii="Minion Pro" w:hAnsi="Minion Pro"/>
          <w:i/>
          <w:sz w:val="20"/>
        </w:rPr>
        <w:t>Stealing Empire: P2P, intellectual property and hip-hop subversion</w:t>
      </w:r>
      <w:r w:rsidRPr="003B7EC6">
        <w:rPr>
          <w:rFonts w:ascii="Minion Pro" w:hAnsi="Minion Pro"/>
          <w:sz w:val="20"/>
        </w:rPr>
        <w:t xml:space="preserve"> Cape Town: HSRC Press </w:t>
      </w:r>
    </w:p>
    <w:p w14:paraId="1E0C265E" w14:textId="77777777" w:rsidR="000F75F2" w:rsidRDefault="003B7EC6" w:rsidP="00FC58C1">
      <w:pPr>
        <w:widowControl w:val="0"/>
        <w:spacing w:after="120" w:line="240" w:lineRule="auto"/>
        <w:jc w:val="both"/>
        <w:rPr>
          <w:rFonts w:ascii="Minion Pro" w:hAnsi="Minion Pro"/>
          <w:sz w:val="20"/>
        </w:rPr>
      </w:pPr>
      <w:r>
        <w:rPr>
          <w:rFonts w:ascii="Minion Pro" w:hAnsi="Minion Pro"/>
          <w:sz w:val="20"/>
        </w:rPr>
        <w:t>1</w:t>
      </w:r>
    </w:p>
    <w:p w14:paraId="22A0F16B" w14:textId="5328AF00" w:rsidR="003B7EC6" w:rsidRPr="003B7EC6" w:rsidRDefault="003E7848" w:rsidP="00FC58C1">
      <w:pPr>
        <w:widowControl w:val="0"/>
        <w:spacing w:after="120" w:line="240" w:lineRule="auto"/>
        <w:jc w:val="both"/>
        <w:rPr>
          <w:rFonts w:ascii="Minion Pro" w:hAnsi="Minion Pro"/>
          <w:sz w:val="20"/>
        </w:rPr>
      </w:pPr>
      <w:r w:rsidRPr="003B7EC6">
        <w:rPr>
          <w:rFonts w:ascii="Minion Pro" w:hAnsi="Minion Pro"/>
          <w:sz w:val="20"/>
        </w:rPr>
        <w:t xml:space="preserve">OpenJournals Publishing (2011) ‘In Creating Their Online Portfolios’, Proceedings of the 2011 Design Development and Research Conference, Cape Town. 26–27 September </w:t>
      </w:r>
    </w:p>
    <w:p w14:paraId="2A4EF0FD" w14:textId="77777777" w:rsidR="000F75F2" w:rsidRDefault="000F75F2" w:rsidP="00FC58C1">
      <w:pPr>
        <w:widowControl w:val="0"/>
        <w:spacing w:after="120" w:line="240" w:lineRule="auto"/>
        <w:jc w:val="both"/>
        <w:rPr>
          <w:rFonts w:ascii="Minion Pro" w:hAnsi="Minion Pro"/>
          <w:sz w:val="20"/>
        </w:rPr>
      </w:pPr>
    </w:p>
    <w:p w14:paraId="6FCB5BF8" w14:textId="3ED5C763" w:rsidR="003E7848" w:rsidRPr="003B7EC6" w:rsidRDefault="003E7848" w:rsidP="00FC58C1">
      <w:pPr>
        <w:widowControl w:val="0"/>
        <w:spacing w:after="120" w:line="240" w:lineRule="auto"/>
        <w:jc w:val="both"/>
        <w:rPr>
          <w:rFonts w:ascii="Minion Pro" w:hAnsi="Minion Pro"/>
          <w:sz w:val="20"/>
        </w:rPr>
      </w:pPr>
      <w:r w:rsidRPr="003B7EC6">
        <w:rPr>
          <w:rFonts w:ascii="Minion Pro" w:hAnsi="Minion Pro"/>
          <w:sz w:val="20"/>
        </w:rPr>
        <w:t xml:space="preserve">Kennedy G, Judd T, Dalgarno B &amp; Waycott J (2010) Beyond natives and immigrants: Exploring types of net generation students. </w:t>
      </w:r>
      <w:r w:rsidRPr="003B7EC6">
        <w:rPr>
          <w:rFonts w:ascii="Minion Pro" w:hAnsi="Minion Pro"/>
          <w:i/>
          <w:sz w:val="20"/>
        </w:rPr>
        <w:t>Journal of Computer Assisted Learning</w:t>
      </w:r>
      <w:r w:rsidRPr="003B7EC6">
        <w:rPr>
          <w:rFonts w:ascii="Minion Pro" w:hAnsi="Minion Pro"/>
          <w:sz w:val="20"/>
        </w:rPr>
        <w:t xml:space="preserve"> 26(5): 332–343. Available at: </w:t>
      </w:r>
      <w:hyperlink r:id="rId44">
        <w:r w:rsidRPr="003B7EC6">
          <w:rPr>
            <w:rFonts w:ascii="Minion Pro" w:hAnsi="Minion Pro"/>
            <w:sz w:val="20"/>
          </w:rPr>
          <w:t>h</w:t>
        </w:r>
      </w:hyperlink>
      <w:hyperlink r:id="rId45">
        <w:r w:rsidRPr="003B7EC6">
          <w:rPr>
            <w:rFonts w:ascii="Minion Pro" w:hAnsi="Minion Pro"/>
            <w:sz w:val="20"/>
          </w:rPr>
          <w:t>ttp://onlinelibrary.wiley.com/doi/10.1111/j.1365-2729.2010.00371.x/pdf</w:t>
        </w:r>
      </w:hyperlink>
    </w:p>
    <w:p w14:paraId="14AB5EF1" w14:textId="77777777" w:rsidR="000F75F2" w:rsidRDefault="000F75F2" w:rsidP="00FC58C1">
      <w:pPr>
        <w:widowControl w:val="0"/>
        <w:spacing w:after="120" w:line="240" w:lineRule="auto"/>
        <w:jc w:val="both"/>
        <w:rPr>
          <w:rFonts w:ascii="Minion Pro" w:hAnsi="Minion Pro"/>
          <w:sz w:val="20"/>
        </w:rPr>
      </w:pPr>
    </w:p>
    <w:p w14:paraId="698E2321" w14:textId="317FF373" w:rsidR="003E7848" w:rsidRPr="003B7EC6" w:rsidRDefault="003E7848" w:rsidP="00FC58C1">
      <w:pPr>
        <w:widowControl w:val="0"/>
        <w:spacing w:after="120" w:line="240" w:lineRule="auto"/>
        <w:jc w:val="both"/>
        <w:rPr>
          <w:rFonts w:ascii="Minion Pro" w:hAnsi="Minion Pro"/>
          <w:sz w:val="20"/>
        </w:rPr>
      </w:pPr>
      <w:r w:rsidRPr="003B7EC6">
        <w:rPr>
          <w:rFonts w:ascii="Minion Pro" w:hAnsi="Minion Pro"/>
          <w:sz w:val="20"/>
        </w:rPr>
        <w:t>Nash J. (2009) Computer skills of first-year students at a South African University. Proceedings of the 2009 Annual Conference of the Southern African Computer Lecturers Association, Mpekweni, pp. 88–92</w:t>
      </w:r>
    </w:p>
    <w:p w14:paraId="425930F9" w14:textId="77777777" w:rsidR="000F75F2" w:rsidRDefault="000F75F2" w:rsidP="00FC58C1">
      <w:pPr>
        <w:widowControl w:val="0"/>
        <w:spacing w:after="120" w:line="240" w:lineRule="auto"/>
        <w:jc w:val="both"/>
        <w:rPr>
          <w:rFonts w:ascii="Minion Pro" w:hAnsi="Minion Pro"/>
          <w:sz w:val="20"/>
        </w:rPr>
      </w:pPr>
    </w:p>
    <w:p w14:paraId="0CE6AB24" w14:textId="0D660711" w:rsidR="003E7848" w:rsidRPr="003B7EC6" w:rsidRDefault="003E7848" w:rsidP="00FC58C1">
      <w:pPr>
        <w:widowControl w:val="0"/>
        <w:spacing w:after="120" w:line="240" w:lineRule="auto"/>
        <w:jc w:val="both"/>
        <w:rPr>
          <w:rFonts w:ascii="Minion Pro" w:hAnsi="Minion Pro"/>
          <w:sz w:val="20"/>
        </w:rPr>
      </w:pPr>
      <w:r w:rsidRPr="003B7EC6">
        <w:rPr>
          <w:rFonts w:ascii="Minion Pro" w:hAnsi="Minion Pro"/>
          <w:sz w:val="20"/>
        </w:rPr>
        <w:t xml:space="preserve">Newman T (2009) </w:t>
      </w:r>
      <w:r w:rsidRPr="003B7EC6">
        <w:rPr>
          <w:rFonts w:ascii="Minion Pro" w:hAnsi="Minion Pro"/>
          <w:i/>
          <w:sz w:val="20"/>
        </w:rPr>
        <w:t xml:space="preserve">A review of digital literacy </w:t>
      </w:r>
      <w:r w:rsidRPr="003B7EC6">
        <w:rPr>
          <w:rFonts w:ascii="Minion Pro" w:hAnsi="Minion Pro"/>
          <w:i/>
          <w:sz w:val="20"/>
        </w:rPr>
        <w:lastRenderedPageBreak/>
        <w:t>in 3–16 year olds: evidence, developmental models, and recommendations</w:t>
      </w:r>
      <w:r w:rsidRPr="003B7EC6">
        <w:rPr>
          <w:rFonts w:ascii="Minion Pro" w:hAnsi="Minion Pro"/>
          <w:sz w:val="20"/>
        </w:rPr>
        <w:t xml:space="preserve">. Available at: </w:t>
      </w:r>
      <w:hyperlink r:id="rId46" w:history="1">
        <w:r w:rsidR="003B7EC6" w:rsidRPr="003B7EC6">
          <w:rPr>
            <w:rStyle w:val="Hyperlink"/>
            <w:rFonts w:ascii="Minion Pro" w:hAnsi="Minion Pro"/>
            <w:sz w:val="20"/>
          </w:rPr>
          <w:t>http://www.timmuslimited.co.uk/wp-content/uploads/docs/DigitalLiteracy3to16ReviewPartA.pdf</w:t>
        </w:r>
      </w:hyperlink>
    </w:p>
    <w:p w14:paraId="2DCAD561" w14:textId="77777777" w:rsidR="000F75F2" w:rsidRDefault="000F75F2" w:rsidP="00FC58C1">
      <w:pPr>
        <w:widowControl w:val="0"/>
        <w:spacing w:after="120" w:line="240" w:lineRule="auto"/>
        <w:jc w:val="both"/>
        <w:rPr>
          <w:rFonts w:ascii="Minion Pro" w:hAnsi="Minion Pro"/>
          <w:sz w:val="20"/>
        </w:rPr>
      </w:pPr>
    </w:p>
    <w:p w14:paraId="08404B1D" w14:textId="72B89220" w:rsidR="003E7848" w:rsidRPr="003B7EC6" w:rsidRDefault="003E7848" w:rsidP="00FC58C1">
      <w:pPr>
        <w:widowControl w:val="0"/>
        <w:spacing w:after="120" w:line="240" w:lineRule="auto"/>
        <w:jc w:val="both"/>
        <w:rPr>
          <w:rFonts w:ascii="Minion Pro" w:hAnsi="Minion Pro"/>
          <w:sz w:val="20"/>
        </w:rPr>
      </w:pPr>
      <w:r w:rsidRPr="003B7EC6">
        <w:rPr>
          <w:rFonts w:ascii="Minion Pro" w:hAnsi="Minion Pro"/>
          <w:sz w:val="20"/>
        </w:rPr>
        <w:t xml:space="preserve">Noakes TM (2011) </w:t>
      </w:r>
      <w:r w:rsidRPr="003B7EC6">
        <w:rPr>
          <w:rFonts w:ascii="Minion Pro" w:hAnsi="Minion Pro"/>
          <w:i/>
          <w:sz w:val="20"/>
        </w:rPr>
        <w:t>The multimodal choices visual arts students made in creating their online portfolios.</w:t>
      </w:r>
      <w:r w:rsidRPr="003B7EC6">
        <w:rPr>
          <w:rFonts w:ascii="Minion Pro" w:hAnsi="Minion Pro"/>
          <w:sz w:val="20"/>
        </w:rPr>
        <w:t xml:space="preserve"> Centre for Film and Media Studies, University of Cape Town. Available at: </w:t>
      </w:r>
      <w:hyperlink r:id="rId47" w:history="1">
        <w:r w:rsidRPr="003B7EC6">
          <w:rPr>
            <w:rStyle w:val="Hyperlink"/>
            <w:rFonts w:ascii="Minion Pro" w:hAnsi="Minion Pro"/>
            <w:sz w:val="20"/>
          </w:rPr>
          <w:t>http://www.academia.edu/2048726/The_Multimodal_Choices_Visual_Arts_Students_Made_In_Creating_Their_Online_Portfolios</w:t>
        </w:r>
      </w:hyperlink>
    </w:p>
    <w:p w14:paraId="217C58DB" w14:textId="77777777" w:rsidR="000F75F2" w:rsidRDefault="000F75F2" w:rsidP="00FC58C1">
      <w:pPr>
        <w:widowControl w:val="0"/>
        <w:spacing w:after="120" w:line="240" w:lineRule="auto"/>
        <w:jc w:val="both"/>
        <w:rPr>
          <w:rFonts w:ascii="Minion Pro" w:hAnsi="Minion Pro"/>
          <w:sz w:val="20"/>
        </w:rPr>
      </w:pPr>
    </w:p>
    <w:p w14:paraId="7C225BC6" w14:textId="5E18D24A" w:rsidR="003E7848" w:rsidRPr="003B7EC6" w:rsidRDefault="003E7848" w:rsidP="00FC58C1">
      <w:pPr>
        <w:widowControl w:val="0"/>
        <w:spacing w:after="120" w:line="240" w:lineRule="auto"/>
        <w:jc w:val="both"/>
        <w:rPr>
          <w:rFonts w:ascii="Minion Pro" w:hAnsi="Minion Pro"/>
          <w:sz w:val="20"/>
        </w:rPr>
      </w:pPr>
      <w:r w:rsidRPr="003B7EC6">
        <w:rPr>
          <w:rFonts w:ascii="Minion Pro" w:hAnsi="Minion Pro"/>
          <w:sz w:val="20"/>
        </w:rPr>
        <w:t xml:space="preserve">Noakes TM (2012) ‘Online portfolio curricular appropriation, visual arts classroom changes and conversations’. Proceedings of the 2012 Design Development and Research Conference, Cape Town. OpenJournals Publishing, September 4–5 </w:t>
      </w:r>
      <w:r w:rsidR="000F75F2">
        <w:rPr>
          <w:rFonts w:ascii="Minion Pro" w:hAnsi="Minion Pro"/>
          <w:sz w:val="20"/>
        </w:rPr>
        <w:br/>
      </w:r>
    </w:p>
    <w:p w14:paraId="4D27B477" w14:textId="24A1D85C" w:rsidR="003E7848" w:rsidRPr="003B7EC6" w:rsidRDefault="003E7848" w:rsidP="00FC58C1">
      <w:pPr>
        <w:widowControl w:val="0"/>
        <w:spacing w:after="120" w:line="240" w:lineRule="auto"/>
        <w:jc w:val="both"/>
        <w:rPr>
          <w:rFonts w:ascii="Minion Pro" w:hAnsi="Minion Pro"/>
          <w:sz w:val="20"/>
        </w:rPr>
      </w:pPr>
      <w:r w:rsidRPr="003B7EC6">
        <w:rPr>
          <w:rFonts w:ascii="Minion Pro" w:hAnsi="Minion Pro"/>
          <w:sz w:val="20"/>
        </w:rPr>
        <w:t xml:space="preserve">Prensky M (2001) Digital natives, digital immigrants Part 1. </w:t>
      </w:r>
      <w:r w:rsidRPr="003B7EC6">
        <w:rPr>
          <w:rFonts w:ascii="Minion Pro" w:hAnsi="Minion Pro"/>
          <w:i/>
          <w:sz w:val="20"/>
        </w:rPr>
        <w:t>On the Horizon</w:t>
      </w:r>
      <w:r w:rsidRPr="003B7EC6">
        <w:rPr>
          <w:rFonts w:ascii="Minion Pro" w:hAnsi="Minion Pro"/>
          <w:sz w:val="20"/>
        </w:rPr>
        <w:t xml:space="preserve"> 9(5) 1–6 </w:t>
      </w:r>
    </w:p>
    <w:p w14:paraId="7EFC70C3" w14:textId="77777777" w:rsidR="000F75F2" w:rsidRDefault="000F75F2" w:rsidP="003B7EC6">
      <w:pPr>
        <w:widowControl w:val="0"/>
        <w:spacing w:after="120" w:line="240" w:lineRule="auto"/>
        <w:ind w:right="-173"/>
        <w:jc w:val="both"/>
        <w:rPr>
          <w:rFonts w:ascii="Minion Pro" w:hAnsi="Minion Pro"/>
          <w:sz w:val="20"/>
        </w:rPr>
      </w:pPr>
    </w:p>
    <w:p w14:paraId="2BB531EE" w14:textId="3A69916A" w:rsidR="003E7848" w:rsidRPr="003B7EC6" w:rsidRDefault="003E7848" w:rsidP="003B7EC6">
      <w:pPr>
        <w:widowControl w:val="0"/>
        <w:spacing w:after="120" w:line="240" w:lineRule="auto"/>
        <w:ind w:right="-173"/>
        <w:jc w:val="both"/>
        <w:rPr>
          <w:rFonts w:ascii="Minion Pro" w:hAnsi="Minion Pro"/>
          <w:sz w:val="20"/>
        </w:rPr>
      </w:pPr>
      <w:r w:rsidRPr="003B7EC6">
        <w:rPr>
          <w:rFonts w:ascii="Minion Pro" w:hAnsi="Minion Pro"/>
          <w:sz w:val="20"/>
        </w:rPr>
        <w:lastRenderedPageBreak/>
        <w:t xml:space="preserve">Rowe M (2012) The use of a wiki to facilitate collaborative learning in a South African physiotherapy department. </w:t>
      </w:r>
      <w:r w:rsidRPr="003B7EC6">
        <w:rPr>
          <w:rFonts w:ascii="Minion Pro" w:hAnsi="Minion Pro"/>
          <w:i/>
          <w:sz w:val="20"/>
        </w:rPr>
        <w:t>South African Journal of Physiotherapy</w:t>
      </w:r>
      <w:r w:rsidRPr="003B7EC6">
        <w:rPr>
          <w:rFonts w:ascii="Minion Pro" w:hAnsi="Minion Pro"/>
          <w:sz w:val="20"/>
        </w:rPr>
        <w:t xml:space="preserve"> 68(2): 11–16 </w:t>
      </w:r>
    </w:p>
    <w:p w14:paraId="5F6BEC00" w14:textId="77777777" w:rsidR="000F75F2" w:rsidRDefault="000F75F2" w:rsidP="00FC58C1">
      <w:pPr>
        <w:widowControl w:val="0"/>
        <w:spacing w:after="120" w:line="240" w:lineRule="auto"/>
        <w:jc w:val="both"/>
        <w:rPr>
          <w:rFonts w:ascii="Minion Pro" w:hAnsi="Minion Pro"/>
          <w:sz w:val="20"/>
        </w:rPr>
      </w:pPr>
    </w:p>
    <w:p w14:paraId="074304B0" w14:textId="357EE034" w:rsidR="003E7848" w:rsidRPr="003B7EC6" w:rsidRDefault="003E7848" w:rsidP="00FC58C1">
      <w:pPr>
        <w:widowControl w:val="0"/>
        <w:spacing w:after="120" w:line="240" w:lineRule="auto"/>
        <w:jc w:val="both"/>
        <w:rPr>
          <w:rFonts w:ascii="Minion Pro" w:hAnsi="Minion Pro"/>
          <w:sz w:val="20"/>
        </w:rPr>
      </w:pPr>
      <w:r w:rsidRPr="003B7EC6">
        <w:rPr>
          <w:rFonts w:ascii="Minion Pro" w:hAnsi="Minion Pro"/>
          <w:sz w:val="20"/>
        </w:rPr>
        <w:t xml:space="preserve">StudentVillage.co.za (2014) </w:t>
      </w:r>
      <w:r w:rsidRPr="003B7EC6">
        <w:rPr>
          <w:rFonts w:ascii="Minion Pro" w:hAnsi="Minion Pro"/>
          <w:i/>
          <w:sz w:val="20"/>
        </w:rPr>
        <w:t>SA Student Social Media Report 2014</w:t>
      </w:r>
      <w:r w:rsidRPr="003B7EC6">
        <w:rPr>
          <w:rFonts w:ascii="Minion Pro" w:hAnsi="Minion Pro"/>
          <w:sz w:val="20"/>
        </w:rPr>
        <w:t xml:space="preserve">, Johannesburg, South Africa. Available at </w:t>
      </w:r>
      <w:hyperlink r:id="rId48" w:history="1">
        <w:r w:rsidRPr="003B7EC6">
          <w:rPr>
            <w:rStyle w:val="Hyperlink"/>
            <w:rFonts w:ascii="Minion Pro" w:hAnsi="Minion Pro"/>
            <w:sz w:val="20"/>
          </w:rPr>
          <w:t>http://www.slideshare.net/lyallsv/sa-student-social-media-report-2014</w:t>
        </w:r>
      </w:hyperlink>
      <w:r w:rsidRPr="003B7EC6">
        <w:rPr>
          <w:rFonts w:ascii="Minion Pro" w:hAnsi="Minion Pro"/>
          <w:sz w:val="20"/>
        </w:rPr>
        <w:t xml:space="preserve"> </w:t>
      </w:r>
    </w:p>
    <w:p w14:paraId="54A34CBC" w14:textId="77777777" w:rsidR="003B7EC6" w:rsidRDefault="003B7EC6" w:rsidP="00FC58C1">
      <w:pPr>
        <w:widowControl w:val="0"/>
        <w:spacing w:after="120" w:line="240" w:lineRule="auto"/>
        <w:jc w:val="both"/>
        <w:rPr>
          <w:rFonts w:ascii="Minion Pro" w:hAnsi="Minion Pro"/>
          <w:sz w:val="20"/>
        </w:rPr>
      </w:pPr>
    </w:p>
    <w:p w14:paraId="6EF5C898" w14:textId="63971627" w:rsidR="000F75F2" w:rsidRDefault="003E7848" w:rsidP="003B7EC6">
      <w:pPr>
        <w:widowControl w:val="0"/>
        <w:spacing w:after="120" w:line="240" w:lineRule="auto"/>
        <w:jc w:val="both"/>
        <w:rPr>
          <w:rFonts w:ascii="Minion Pro" w:hAnsi="Minion Pro"/>
          <w:sz w:val="20"/>
        </w:rPr>
      </w:pPr>
      <w:r w:rsidRPr="003B7EC6">
        <w:rPr>
          <w:rFonts w:ascii="Minion Pro" w:hAnsi="Minion Pro"/>
          <w:sz w:val="20"/>
        </w:rPr>
        <w:t xml:space="preserve">Thinyane H (2010) Are digital natives a world-wide phenomenon? An investigation into South African first year students’ use and experience with technology. </w:t>
      </w:r>
      <w:r w:rsidRPr="003B7EC6">
        <w:rPr>
          <w:rFonts w:ascii="Minion Pro" w:hAnsi="Minion Pro"/>
          <w:i/>
          <w:sz w:val="20"/>
        </w:rPr>
        <w:t>Computers &amp; Education</w:t>
      </w:r>
      <w:r w:rsidRPr="003B7EC6">
        <w:rPr>
          <w:rFonts w:ascii="Minion Pro" w:hAnsi="Minion Pro"/>
          <w:sz w:val="20"/>
        </w:rPr>
        <w:t xml:space="preserve"> 55(1): 406–414 </w:t>
      </w:r>
      <w:r w:rsidR="000F75F2">
        <w:rPr>
          <w:rFonts w:ascii="Minion Pro" w:hAnsi="Minion Pro"/>
          <w:sz w:val="20"/>
        </w:rPr>
        <w:br/>
      </w:r>
    </w:p>
    <w:p w14:paraId="2B7F8B85" w14:textId="119EC714" w:rsidR="003E7848" w:rsidRPr="003B7EC6" w:rsidRDefault="003E7848" w:rsidP="003B7EC6">
      <w:pPr>
        <w:widowControl w:val="0"/>
        <w:spacing w:after="120" w:line="240" w:lineRule="auto"/>
        <w:jc w:val="both"/>
        <w:rPr>
          <w:rFonts w:ascii="Minion Pro" w:hAnsi="Minion Pro"/>
          <w:sz w:val="20"/>
        </w:rPr>
        <w:sectPr w:rsidR="003E7848" w:rsidRPr="003B7EC6" w:rsidSect="00FC58C1">
          <w:type w:val="continuous"/>
          <w:pgSz w:w="11900" w:h="16840"/>
          <w:pgMar w:top="1418" w:right="1410" w:bottom="1440" w:left="1800" w:header="708" w:footer="708" w:gutter="0"/>
          <w:cols w:num="2" w:space="708"/>
          <w:titlePg/>
          <w:docGrid w:linePitch="360"/>
        </w:sectPr>
      </w:pPr>
      <w:r w:rsidRPr="003B7EC6">
        <w:rPr>
          <w:rFonts w:ascii="Minion Pro" w:hAnsi="Minion Pro"/>
          <w:sz w:val="20"/>
        </w:rPr>
        <w:t xml:space="preserve">Wheeler S (2012) </w:t>
      </w:r>
      <w:r w:rsidRPr="003B7EC6">
        <w:rPr>
          <w:rFonts w:ascii="Minion Pro" w:hAnsi="Minion Pro"/>
          <w:i/>
          <w:sz w:val="20"/>
        </w:rPr>
        <w:t>Digital literacies for engagement in emerging online cultures</w:t>
      </w:r>
      <w:r w:rsidRPr="003B7EC6">
        <w:rPr>
          <w:rFonts w:ascii="Minion Pro" w:hAnsi="Minion Pro"/>
          <w:sz w:val="20"/>
        </w:rPr>
        <w:t xml:space="preserve">. eLC research paper series 5: Communication and Learning in the Digital Age. Available at: </w:t>
      </w:r>
      <w:hyperlink r:id="rId49" w:history="1">
        <w:r w:rsidRPr="003B7EC6">
          <w:rPr>
            <w:rStyle w:val="Hyperlink"/>
            <w:rFonts w:ascii="Minion Pro" w:hAnsi="Minion Pro"/>
            <w:sz w:val="20"/>
          </w:rPr>
          <w:t>http://in3-working-paper-series.uoc.edu/index.php/elcrps/</w:t>
        </w:r>
        <w:r w:rsidR="003B7EC6" w:rsidRPr="003B7EC6">
          <w:rPr>
            <w:rStyle w:val="Hyperlink"/>
            <w:rFonts w:ascii="Minion Pro" w:hAnsi="Minion Pro"/>
            <w:sz w:val="20"/>
          </w:rPr>
          <w:t>article/viewFile/1708/n5-wheeler</w:t>
        </w:r>
      </w:hyperlink>
    </w:p>
    <w:p w14:paraId="605CD524" w14:textId="77777777" w:rsidR="00FC58C1" w:rsidRDefault="00FC58C1" w:rsidP="00E203EC"/>
    <w:p w14:paraId="23FFEA27" w14:textId="77777777" w:rsidR="00A25CDA" w:rsidRDefault="00A25CDA" w:rsidP="00E203EC"/>
    <w:p w14:paraId="2BC6A480" w14:textId="77777777" w:rsidR="00A25CDA" w:rsidRDefault="00A25CDA" w:rsidP="00E203EC"/>
    <w:p w14:paraId="7EA17D2A" w14:textId="77777777" w:rsidR="00A25CDA" w:rsidRDefault="00A25CDA" w:rsidP="00E203EC"/>
    <w:p w14:paraId="144BBD14" w14:textId="77777777" w:rsidR="00A25CDA" w:rsidRDefault="00A25CDA" w:rsidP="00E203EC"/>
    <w:p w14:paraId="38A175D1" w14:textId="77777777" w:rsidR="00A25CDA" w:rsidRDefault="00A25CDA" w:rsidP="00E203EC"/>
    <w:p w14:paraId="2531ACB1" w14:textId="77777777" w:rsidR="00A25CDA" w:rsidRDefault="00A25CDA" w:rsidP="00E203EC"/>
    <w:p w14:paraId="7DBACD00" w14:textId="77777777" w:rsidR="00A25CDA" w:rsidRDefault="00A25CDA" w:rsidP="00E203EC"/>
    <w:p w14:paraId="02577CE1" w14:textId="77777777" w:rsidR="00A25CDA" w:rsidRDefault="00A25CDA" w:rsidP="00E203EC"/>
    <w:p w14:paraId="715E6B39" w14:textId="77777777" w:rsidR="00A25CDA" w:rsidRDefault="00A25CDA" w:rsidP="00E203EC"/>
    <w:p w14:paraId="4E445F59" w14:textId="77777777" w:rsidR="00A25CDA" w:rsidRDefault="00A25CDA" w:rsidP="00E203EC"/>
    <w:p w14:paraId="300AAAA1" w14:textId="77777777" w:rsidR="00A25CDA" w:rsidRDefault="00A25CDA" w:rsidP="00E203EC"/>
    <w:p w14:paraId="2440BF67" w14:textId="77777777" w:rsidR="00A25CDA" w:rsidRDefault="00A25CDA" w:rsidP="00E203EC"/>
    <w:p w14:paraId="62FB8EE2" w14:textId="77777777" w:rsidR="00A25CDA" w:rsidRDefault="00A25CDA" w:rsidP="00E203EC"/>
    <w:p w14:paraId="67A56458" w14:textId="77777777" w:rsidR="00A25CDA" w:rsidRDefault="00A25CDA" w:rsidP="00E203EC"/>
    <w:p w14:paraId="4F07618E" w14:textId="77777777" w:rsidR="00A25CDA" w:rsidRDefault="00A25CDA" w:rsidP="00E203EC"/>
    <w:p w14:paraId="69365967" w14:textId="77777777" w:rsidR="00A25CDA" w:rsidRDefault="00A25CDA" w:rsidP="00E203EC"/>
    <w:p w14:paraId="6510B5EF" w14:textId="77777777" w:rsidR="00A25CDA" w:rsidRDefault="00A25CDA" w:rsidP="00E203EC"/>
    <w:p w14:paraId="4D2072C8" w14:textId="77777777" w:rsidR="00A25CDA" w:rsidRDefault="00A25CDA" w:rsidP="00E203EC"/>
    <w:p w14:paraId="70E03E24" w14:textId="77777777" w:rsidR="00A25CDA" w:rsidRDefault="00A25CDA" w:rsidP="00E203EC"/>
    <w:p w14:paraId="65BCE2F6" w14:textId="77777777" w:rsidR="00A25CDA" w:rsidRDefault="00A25CDA" w:rsidP="00E203EC"/>
    <w:p w14:paraId="1A5BE930" w14:textId="77777777" w:rsidR="00A25CDA" w:rsidRDefault="00A25CDA" w:rsidP="00E203EC"/>
    <w:p w14:paraId="530D868A" w14:textId="77777777" w:rsidR="00A25CDA" w:rsidRDefault="00A25CDA" w:rsidP="00E203EC"/>
    <w:p w14:paraId="48EF4D80" w14:textId="77777777" w:rsidR="00A25CDA" w:rsidRDefault="00A25CDA" w:rsidP="00E203EC"/>
    <w:p w14:paraId="1F7CFA86" w14:textId="77777777" w:rsidR="00A25CDA" w:rsidRDefault="00A25CDA" w:rsidP="00E203EC"/>
    <w:p w14:paraId="18A3A40C" w14:textId="77777777" w:rsidR="00A25CDA" w:rsidRDefault="00A25CDA" w:rsidP="00E203EC"/>
    <w:p w14:paraId="58D93122" w14:textId="77777777" w:rsidR="00A25CDA" w:rsidRDefault="00A25CDA" w:rsidP="00E203EC"/>
    <w:p w14:paraId="1F3EB7DA" w14:textId="77777777" w:rsidR="00A25CDA" w:rsidRDefault="00A25CDA" w:rsidP="00E203EC"/>
    <w:p w14:paraId="441FD926" w14:textId="77777777" w:rsidR="00A25CDA" w:rsidRDefault="00A25CDA" w:rsidP="00E203EC"/>
    <w:p w14:paraId="4221FCFF" w14:textId="77777777" w:rsidR="000F75F2" w:rsidRDefault="000F75F2" w:rsidP="00E203EC"/>
    <w:p w14:paraId="7801C7E3" w14:textId="77777777" w:rsidR="00E203EC" w:rsidRPr="00F5099D" w:rsidRDefault="00E203EC" w:rsidP="00E203EC">
      <w:pPr>
        <w:pBdr>
          <w:top w:val="single" w:sz="24" w:space="1" w:color="auto"/>
          <w:left w:val="single" w:sz="24" w:space="4" w:color="auto"/>
          <w:bottom w:val="single" w:sz="24" w:space="1" w:color="auto"/>
          <w:right w:val="single" w:sz="24" w:space="4" w:color="auto"/>
        </w:pBdr>
        <w:rPr>
          <w:b/>
          <w:sz w:val="32"/>
        </w:rPr>
      </w:pPr>
      <w:r w:rsidRPr="00F5099D">
        <w:rPr>
          <w:b/>
          <w:sz w:val="32"/>
        </w:rPr>
        <w:t>License:</w:t>
      </w:r>
    </w:p>
    <w:p w14:paraId="775E3D02" w14:textId="77777777" w:rsidR="00E203EC" w:rsidRDefault="00E203EC" w:rsidP="00E203EC">
      <w:pPr>
        <w:pBdr>
          <w:top w:val="single" w:sz="24" w:space="1" w:color="auto"/>
          <w:left w:val="single" w:sz="24" w:space="4" w:color="auto"/>
          <w:bottom w:val="single" w:sz="24" w:space="1" w:color="auto"/>
          <w:right w:val="single" w:sz="24" w:space="4" w:color="auto"/>
        </w:pBdr>
      </w:pPr>
    </w:p>
    <w:p w14:paraId="75576524" w14:textId="77777777" w:rsidR="00E203EC" w:rsidRDefault="00E203EC" w:rsidP="00E203EC">
      <w:pPr>
        <w:pBdr>
          <w:top w:val="single" w:sz="24" w:space="1" w:color="auto"/>
          <w:left w:val="single" w:sz="24" w:space="4" w:color="auto"/>
          <w:bottom w:val="single" w:sz="24" w:space="1" w:color="auto"/>
          <w:right w:val="single" w:sz="24" w:space="4" w:color="auto"/>
        </w:pBdr>
        <w:rPr>
          <w:lang w:val="en"/>
        </w:rPr>
      </w:pPr>
      <w:r w:rsidRPr="00F5099D">
        <w:rPr>
          <w:sz w:val="23"/>
          <w:szCs w:val="23"/>
          <w:lang w:val="en-US"/>
        </w:rPr>
        <w:t>This work is licensed under the Creative Commons Attribution 4.0 Unported License. To view a copy of this license, visit</w:t>
      </w:r>
      <w:r>
        <w:rPr>
          <w:lang w:val="en"/>
        </w:rPr>
        <w:t xml:space="preserve"> </w:t>
      </w:r>
      <w:hyperlink r:id="rId50" w:history="1">
        <w:r>
          <w:rPr>
            <w:rStyle w:val="Hyperlink"/>
            <w:lang w:val="en"/>
          </w:rPr>
          <w:t>https://creativecommons.org/licenses/by/4.0/</w:t>
        </w:r>
      </w:hyperlink>
    </w:p>
    <w:p w14:paraId="34D01A2D" w14:textId="77777777" w:rsidR="00E203EC" w:rsidRDefault="00E203EC" w:rsidP="00E203EC">
      <w:pPr>
        <w:pBdr>
          <w:top w:val="single" w:sz="24" w:space="1" w:color="auto"/>
          <w:left w:val="single" w:sz="24" w:space="4" w:color="auto"/>
          <w:bottom w:val="single" w:sz="24" w:space="1" w:color="auto"/>
          <w:right w:val="single" w:sz="24" w:space="4" w:color="auto"/>
        </w:pBdr>
        <w:rPr>
          <w:lang w:val="en"/>
        </w:rPr>
      </w:pPr>
    </w:p>
    <w:p w14:paraId="2E89132E" w14:textId="77777777" w:rsidR="00E203EC" w:rsidRDefault="00E203EC" w:rsidP="00E203EC">
      <w:pPr>
        <w:pBdr>
          <w:top w:val="single" w:sz="24" w:space="1" w:color="auto"/>
          <w:left w:val="single" w:sz="24" w:space="4" w:color="auto"/>
          <w:bottom w:val="single" w:sz="24" w:space="1" w:color="auto"/>
          <w:right w:val="single" w:sz="24" w:space="4" w:color="auto"/>
        </w:pBdr>
      </w:pPr>
      <w:r>
        <w:rPr>
          <w:noProof/>
        </w:rPr>
        <w:drawing>
          <wp:inline distT="0" distB="0" distL="0" distR="0" wp14:anchorId="5168CE2B" wp14:editId="3CBA27FB">
            <wp:extent cx="1144905" cy="397510"/>
            <wp:effectExtent l="0" t="0" r="0" b="2540"/>
            <wp:docPr id="4" name="Picture 4" descr="cid:image001.png@01D0713D.C722E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id:image001.png@01D0713D.C722E140"/>
                    <pic:cNvPicPr>
                      <a:picLocks noChangeAspect="1" noChangeArrowheads="1"/>
                    </pic:cNvPicPr>
                  </pic:nvPicPr>
                  <pic:blipFill>
                    <a:blip r:embed="rId51" r:link="rId52">
                      <a:extLst>
                        <a:ext uri="{28A0092B-C50C-407E-A947-70E740481C1C}">
                          <a14:useLocalDpi xmlns:a14="http://schemas.microsoft.com/office/drawing/2010/main" val="0"/>
                        </a:ext>
                      </a:extLst>
                    </a:blip>
                    <a:srcRect/>
                    <a:stretch>
                      <a:fillRect/>
                    </a:stretch>
                  </pic:blipFill>
                  <pic:spPr bwMode="auto">
                    <a:xfrm>
                      <a:off x="0" y="0"/>
                      <a:ext cx="1144905" cy="397510"/>
                    </a:xfrm>
                    <a:prstGeom prst="rect">
                      <a:avLst/>
                    </a:prstGeom>
                    <a:noFill/>
                    <a:ln>
                      <a:noFill/>
                    </a:ln>
                  </pic:spPr>
                </pic:pic>
              </a:graphicData>
            </a:graphic>
          </wp:inline>
        </w:drawing>
      </w:r>
    </w:p>
    <w:p w14:paraId="5BB19597" w14:textId="77777777" w:rsidR="00E203EC" w:rsidRDefault="00E203EC" w:rsidP="00E203EC">
      <w:pPr>
        <w:pBdr>
          <w:top w:val="single" w:sz="24" w:space="1" w:color="auto"/>
          <w:left w:val="single" w:sz="24" w:space="4" w:color="auto"/>
          <w:bottom w:val="single" w:sz="24" w:space="1" w:color="auto"/>
          <w:right w:val="single" w:sz="24" w:space="4" w:color="auto"/>
        </w:pBdr>
      </w:pPr>
    </w:p>
    <w:p w14:paraId="5029FC31" w14:textId="77777777" w:rsidR="00E902EA" w:rsidRPr="00E902EA" w:rsidRDefault="00E902EA" w:rsidP="00E902EA">
      <w:pPr>
        <w:spacing w:line="360" w:lineRule="auto"/>
        <w:jc w:val="both"/>
        <w:rPr>
          <w:rFonts w:ascii="Minion Pro" w:hAnsi="Minion Pro"/>
          <w:szCs w:val="22"/>
        </w:rPr>
      </w:pPr>
    </w:p>
    <w:p w14:paraId="75BCCF52" w14:textId="68C3C8BC" w:rsidR="00AE3B02" w:rsidRPr="007E1CE7" w:rsidRDefault="00E203EC" w:rsidP="00AE3B02">
      <w:pPr>
        <w:rPr>
          <w:rFonts w:ascii="Minion Pro" w:hAnsi="Minion Pro"/>
          <w:sz w:val="28"/>
        </w:rPr>
      </w:pPr>
      <w:r>
        <w:rPr>
          <w:rFonts w:ascii="Minion Pro" w:hAnsi="Minion Pro"/>
          <w:sz w:val="32"/>
        </w:rPr>
        <w:t>Citation</w:t>
      </w:r>
    </w:p>
    <w:p w14:paraId="676A6FBA" w14:textId="77777777" w:rsidR="007E1CE7" w:rsidRDefault="007E1CE7" w:rsidP="00AE3B02">
      <w:pPr>
        <w:spacing w:line="240" w:lineRule="auto"/>
        <w:rPr>
          <w:rFonts w:ascii="Minion Pro" w:hAnsi="Minion Pro"/>
          <w:sz w:val="18"/>
        </w:rPr>
      </w:pPr>
    </w:p>
    <w:p w14:paraId="794D24FC" w14:textId="77777777" w:rsidR="003B2FC4" w:rsidRDefault="003B2FC4" w:rsidP="00AE3B02">
      <w:pPr>
        <w:spacing w:line="240" w:lineRule="auto"/>
        <w:rPr>
          <w:rFonts w:ascii="Minion Pro" w:hAnsi="Minion Pro"/>
          <w:sz w:val="18"/>
        </w:rPr>
        <w:sectPr w:rsidR="003B2FC4" w:rsidSect="003E7848">
          <w:type w:val="continuous"/>
          <w:pgSz w:w="11900" w:h="16840"/>
          <w:pgMar w:top="1418" w:right="1800" w:bottom="1440" w:left="1800" w:header="708" w:footer="708" w:gutter="0"/>
          <w:cols w:space="708"/>
          <w:titlePg/>
          <w:docGrid w:linePitch="360"/>
        </w:sectPr>
      </w:pPr>
    </w:p>
    <w:p w14:paraId="5678AD9C" w14:textId="5F4FBE90" w:rsidR="00625D6A" w:rsidRPr="003E7848" w:rsidRDefault="003E7848" w:rsidP="00E203EC">
      <w:pPr>
        <w:spacing w:line="360" w:lineRule="auto"/>
        <w:rPr>
          <w:rFonts w:ascii="Minion Pro" w:eastAsia="Times New Roman" w:hAnsi="Minion Pro" w:cs="Times New Roman"/>
          <w:sz w:val="18"/>
        </w:rPr>
      </w:pPr>
      <w:r>
        <w:rPr>
          <w:rFonts w:ascii="Minion Pro" w:hAnsi="Minion Pro"/>
          <w:sz w:val="23"/>
          <w:szCs w:val="23"/>
          <w:lang w:val="en-US"/>
        </w:rPr>
        <w:lastRenderedPageBreak/>
        <w:t>Brown</w:t>
      </w:r>
      <w:r w:rsidR="00E203EC" w:rsidRPr="003E7848">
        <w:rPr>
          <w:rFonts w:ascii="Minion Pro" w:hAnsi="Minion Pro"/>
          <w:sz w:val="23"/>
          <w:szCs w:val="23"/>
          <w:lang w:val="en-US"/>
        </w:rPr>
        <w:t xml:space="preserve">, C &amp; </w:t>
      </w:r>
      <w:r>
        <w:rPr>
          <w:rFonts w:ascii="Minion Pro" w:hAnsi="Minion Pro"/>
          <w:sz w:val="23"/>
          <w:szCs w:val="23"/>
          <w:lang w:val="en-US"/>
        </w:rPr>
        <w:t>Mayisela</w:t>
      </w:r>
      <w:r w:rsidR="00E203EC" w:rsidRPr="003E7848">
        <w:rPr>
          <w:rFonts w:ascii="Minion Pro" w:hAnsi="Minion Pro"/>
          <w:sz w:val="23"/>
          <w:szCs w:val="23"/>
          <w:lang w:val="en-US"/>
        </w:rPr>
        <w:t xml:space="preserve">, </w:t>
      </w:r>
      <w:r>
        <w:rPr>
          <w:rFonts w:ascii="Minion Pro" w:hAnsi="Minion Pro"/>
          <w:sz w:val="23"/>
          <w:szCs w:val="23"/>
          <w:lang w:val="en-US"/>
        </w:rPr>
        <w:t>T</w:t>
      </w:r>
      <w:r w:rsidR="00E203EC" w:rsidRPr="003E7848">
        <w:rPr>
          <w:rFonts w:ascii="Minion Pro" w:hAnsi="Minion Pro"/>
          <w:sz w:val="23"/>
          <w:szCs w:val="23"/>
          <w:lang w:val="en-US"/>
        </w:rPr>
        <w:t xml:space="preserve">. (2015). CILT Position Paper:  </w:t>
      </w:r>
      <w:r>
        <w:rPr>
          <w:rFonts w:ascii="Minion Pro" w:hAnsi="Minion Pro"/>
          <w:sz w:val="23"/>
          <w:szCs w:val="23"/>
          <w:lang w:val="en-US"/>
        </w:rPr>
        <w:t>Digital literacies</w:t>
      </w:r>
      <w:r w:rsidR="00E203EC" w:rsidRPr="003E7848">
        <w:rPr>
          <w:rFonts w:ascii="Minion Pro" w:hAnsi="Minion Pro"/>
          <w:sz w:val="23"/>
          <w:szCs w:val="23"/>
          <w:lang w:val="en-US"/>
        </w:rPr>
        <w:t>. CILT, University of Cape Town.</w:t>
      </w:r>
    </w:p>
    <w:p w14:paraId="6EA9189A" w14:textId="77777777" w:rsidR="003B2FC4" w:rsidRDefault="003B2FC4" w:rsidP="00AE3B02">
      <w:pPr>
        <w:rPr>
          <w:rFonts w:ascii="Minion Pro" w:hAnsi="Minion Pro"/>
        </w:rPr>
      </w:pPr>
    </w:p>
    <w:p w14:paraId="790A940E" w14:textId="77777777" w:rsidR="00664F66" w:rsidRDefault="00664F66" w:rsidP="00AE3B02">
      <w:pPr>
        <w:rPr>
          <w:rFonts w:ascii="Minion Pro" w:hAnsi="Minion Pro"/>
        </w:rPr>
        <w:sectPr w:rsidR="00664F66" w:rsidSect="00FC58C1">
          <w:type w:val="continuous"/>
          <w:pgSz w:w="11900" w:h="16840"/>
          <w:pgMar w:top="993" w:right="1800" w:bottom="1440" w:left="1800" w:header="708" w:footer="708" w:gutter="0"/>
          <w:cols w:space="708"/>
          <w:titlePg/>
          <w:docGrid w:linePitch="360"/>
        </w:sectPr>
      </w:pPr>
    </w:p>
    <w:p w14:paraId="735950B6" w14:textId="77777777" w:rsidR="00A25CDA" w:rsidRPr="00FC0237" w:rsidRDefault="00A25CDA" w:rsidP="00A25CDA">
      <w:pPr>
        <w:pStyle w:val="Heading1"/>
        <w:rPr>
          <w:rFonts w:ascii="Minion Pro" w:hAnsi="Minion Pro"/>
          <w:sz w:val="23"/>
          <w:szCs w:val="23"/>
          <w:lang w:val="en-US"/>
        </w:rPr>
      </w:pPr>
      <w:r w:rsidRPr="00FC0237">
        <w:rPr>
          <w:rFonts w:ascii="Minion Pro" w:hAnsi="Minion Pro"/>
          <w:sz w:val="23"/>
          <w:szCs w:val="23"/>
          <w:lang w:val="en-US"/>
        </w:rPr>
        <w:lastRenderedPageBreak/>
        <w:t>This work has been slightly adapted from the original which originally appeared in the</w:t>
      </w:r>
    </w:p>
    <w:p w14:paraId="447A4A1B" w14:textId="77777777" w:rsidR="00A25CDA" w:rsidRPr="00FC0237" w:rsidRDefault="00A25CDA" w:rsidP="00A25CDA">
      <w:pPr>
        <w:pStyle w:val="Heading1"/>
        <w:rPr>
          <w:rFonts w:ascii="Minion Pro" w:hAnsi="Minion Pro"/>
          <w:sz w:val="23"/>
          <w:szCs w:val="23"/>
          <w:lang w:val="en-US"/>
        </w:rPr>
      </w:pPr>
      <w:r w:rsidRPr="00FC0237">
        <w:rPr>
          <w:rFonts w:ascii="Minion Pro" w:hAnsi="Minion Pro"/>
          <w:sz w:val="23"/>
          <w:szCs w:val="23"/>
          <w:lang w:val="en-US"/>
        </w:rPr>
        <w:t>HESA series: Kilfoil, W.R. (Ed.). (2015). Moving beyond the hype: a contextualized</w:t>
      </w:r>
    </w:p>
    <w:p w14:paraId="2279CE8B" w14:textId="77777777" w:rsidR="00A25CDA" w:rsidRPr="00FC0237" w:rsidRDefault="00A25CDA" w:rsidP="00A25CDA">
      <w:pPr>
        <w:pStyle w:val="Heading1"/>
        <w:rPr>
          <w:rFonts w:ascii="Minion Pro" w:hAnsi="Minion Pro"/>
          <w:sz w:val="23"/>
          <w:szCs w:val="23"/>
          <w:lang w:val="en-US"/>
        </w:rPr>
      </w:pPr>
      <w:r w:rsidRPr="00FC0237">
        <w:rPr>
          <w:rFonts w:ascii="Minion Pro" w:hAnsi="Minion Pro"/>
          <w:sz w:val="23"/>
          <w:szCs w:val="23"/>
          <w:lang w:val="en-US"/>
        </w:rPr>
        <w:t>view of learning with technology in higher education. Higher Education South Africa -</w:t>
      </w:r>
    </w:p>
    <w:p w14:paraId="35F57114" w14:textId="6430E61A" w:rsidR="00A25CDA" w:rsidRPr="00FC0237" w:rsidRDefault="00A25CDA" w:rsidP="00A25CDA">
      <w:pPr>
        <w:pStyle w:val="Heading1"/>
        <w:rPr>
          <w:rFonts w:ascii="Minion Pro" w:hAnsi="Minion Pro"/>
          <w:sz w:val="23"/>
          <w:szCs w:val="23"/>
          <w:lang w:val="en-US"/>
        </w:rPr>
      </w:pPr>
      <w:r w:rsidRPr="00FC0237">
        <w:rPr>
          <w:rFonts w:ascii="Minion Pro" w:hAnsi="Minion Pro"/>
          <w:sz w:val="23"/>
          <w:szCs w:val="23"/>
          <w:lang w:val="en-US"/>
        </w:rPr>
        <w:t>HESA licensed under a Creative Commons Attribution 4.0 International License (CC BY)</w:t>
      </w:r>
      <w:r>
        <w:rPr>
          <w:rFonts w:ascii="Minion Pro" w:hAnsi="Minion Pro"/>
          <w:sz w:val="23"/>
          <w:szCs w:val="23"/>
          <w:lang w:val="en-US"/>
        </w:rPr>
        <w:t xml:space="preserve"> </w:t>
      </w:r>
      <w:hyperlink r:id="rId53" w:history="1">
        <w:r w:rsidRPr="00FC0237">
          <w:rPr>
            <w:rStyle w:val="Hyperlink"/>
            <w:rFonts w:ascii="Minion Pro" w:hAnsi="Minion Pro"/>
            <w:sz w:val="23"/>
            <w:szCs w:val="23"/>
            <w:lang w:val="en-US"/>
          </w:rPr>
          <w:t>creativecommons.org/licenses/by/4.0</w:t>
        </w:r>
      </w:hyperlink>
      <w:r w:rsidRPr="00FC0237">
        <w:rPr>
          <w:rFonts w:ascii="Minion Pro" w:hAnsi="Minion Pro"/>
          <w:sz w:val="23"/>
          <w:szCs w:val="23"/>
          <w:lang w:val="en-US"/>
        </w:rPr>
        <w:t xml:space="preserve"> </w:t>
      </w:r>
    </w:p>
    <w:p w14:paraId="14FB9E52" w14:textId="77777777" w:rsidR="00664F66" w:rsidRPr="002E06CF" w:rsidRDefault="00664F66" w:rsidP="00664F66"/>
    <w:p w14:paraId="13F56C2F" w14:textId="77777777" w:rsidR="00664F66" w:rsidRDefault="00664F66" w:rsidP="00AE3B02">
      <w:pPr>
        <w:rPr>
          <w:rFonts w:ascii="Minion Pro" w:hAnsi="Minion Pro"/>
        </w:rPr>
      </w:pPr>
    </w:p>
    <w:p w14:paraId="00D83D13" w14:textId="77777777" w:rsidR="00727764" w:rsidRPr="00901951" w:rsidRDefault="00727764" w:rsidP="00727764">
      <w:pPr>
        <w:rPr>
          <w:rFonts w:ascii="Minion Pro" w:hAnsi="Minion Pro"/>
          <w:sz w:val="32"/>
        </w:rPr>
      </w:pPr>
      <w:r>
        <w:rPr>
          <w:rFonts w:ascii="Minion Pro" w:hAnsi="Minion Pro"/>
          <w:sz w:val="32"/>
        </w:rPr>
        <w:t>Contact Details</w:t>
      </w:r>
    </w:p>
    <w:p w14:paraId="02ABB814" w14:textId="77777777" w:rsidR="00727764" w:rsidRDefault="00727764" w:rsidP="00727764">
      <w:pPr>
        <w:rPr>
          <w:rFonts w:ascii="Minion Pro" w:hAnsi="Minion Pro"/>
        </w:rPr>
      </w:pPr>
      <w:r>
        <w:rPr>
          <w:rFonts w:ascii="Minion Pro" w:hAnsi="Minion Pro"/>
        </w:rPr>
        <w:t xml:space="preserve">Dr Cheryl Brown, </w:t>
      </w:r>
      <w:hyperlink r:id="rId54" w:history="1">
        <w:r w:rsidRPr="00CA5604">
          <w:rPr>
            <w:rStyle w:val="Hyperlink"/>
            <w:rFonts w:ascii="Minion Pro" w:hAnsi="Minion Pro"/>
          </w:rPr>
          <w:t>cheryl.brown@uct.ac.za</w:t>
        </w:r>
      </w:hyperlink>
      <w:r>
        <w:rPr>
          <w:rFonts w:ascii="Minion Pro" w:hAnsi="Minion Pro"/>
        </w:rPr>
        <w:t>, Tel: (021) 650 5035</w:t>
      </w:r>
    </w:p>
    <w:p w14:paraId="10C19742" w14:textId="41978188" w:rsidR="00727764" w:rsidRDefault="00727764" w:rsidP="00727764">
      <w:pPr>
        <w:rPr>
          <w:rFonts w:ascii="Minion Pro" w:hAnsi="Minion Pro"/>
        </w:rPr>
      </w:pPr>
      <w:r>
        <w:rPr>
          <w:rFonts w:ascii="Minion Pro" w:hAnsi="Minion Pro"/>
        </w:rPr>
        <w:t xml:space="preserve">Tabisa Mayisela, </w:t>
      </w:r>
      <w:hyperlink r:id="rId55" w:history="1">
        <w:r w:rsidRPr="00CA5604">
          <w:rPr>
            <w:rStyle w:val="Hyperlink"/>
            <w:rFonts w:ascii="Minion Pro" w:hAnsi="Minion Pro"/>
          </w:rPr>
          <w:t>tabisa.mayisela@uct.ac.za</w:t>
        </w:r>
      </w:hyperlink>
      <w:r>
        <w:rPr>
          <w:rFonts w:ascii="Minion Pro" w:hAnsi="Minion Pro"/>
        </w:rPr>
        <w:t>, Tel: (021) 650 1774</w:t>
      </w:r>
    </w:p>
    <w:p w14:paraId="6DD48298" w14:textId="77777777" w:rsidR="00727764" w:rsidRDefault="00727764" w:rsidP="00727764">
      <w:pPr>
        <w:rPr>
          <w:rFonts w:ascii="Minion Pro" w:hAnsi="Minion Pro"/>
        </w:rPr>
      </w:pPr>
    </w:p>
    <w:p w14:paraId="0CA2FAF1" w14:textId="77777777" w:rsidR="00727764" w:rsidRDefault="009341F5" w:rsidP="00727764">
      <w:pPr>
        <w:rPr>
          <w:rFonts w:ascii="Minion Pro" w:hAnsi="Minion Pro"/>
        </w:rPr>
      </w:pPr>
      <w:hyperlink r:id="rId56" w:history="1">
        <w:r w:rsidR="00727764" w:rsidRPr="00CA5604">
          <w:rPr>
            <w:rStyle w:val="Hyperlink"/>
            <w:rFonts w:ascii="Minion Pro" w:hAnsi="Minion Pro"/>
          </w:rPr>
          <w:t>www.cilt.uct.ac.za</w:t>
        </w:r>
      </w:hyperlink>
      <w:r w:rsidR="00727764">
        <w:rPr>
          <w:rFonts w:ascii="Minion Pro" w:hAnsi="Minion Pro"/>
        </w:rPr>
        <w:br/>
        <w:t xml:space="preserve">Email: </w:t>
      </w:r>
      <w:hyperlink r:id="rId57" w:history="1">
        <w:r w:rsidR="00727764" w:rsidRPr="00CA5604">
          <w:rPr>
            <w:rStyle w:val="Hyperlink"/>
            <w:rFonts w:ascii="Minion Pro" w:hAnsi="Minion Pro"/>
          </w:rPr>
          <w:t>cilt@uct.ac.za</w:t>
        </w:r>
      </w:hyperlink>
    </w:p>
    <w:p w14:paraId="42EC5DD3" w14:textId="77777777" w:rsidR="00727764" w:rsidRPr="007E1CE7" w:rsidRDefault="00727764" w:rsidP="00AE3B02">
      <w:pPr>
        <w:rPr>
          <w:rFonts w:ascii="Minion Pro" w:hAnsi="Minion Pro"/>
        </w:rPr>
      </w:pPr>
    </w:p>
    <w:sectPr w:rsidR="00727764" w:rsidRPr="007E1CE7" w:rsidSect="007E1CE7">
      <w:type w:val="continuous"/>
      <w:pgSz w:w="11900" w:h="16840"/>
      <w:pgMar w:top="851" w:right="1800" w:bottom="1440" w:left="1800" w:header="708" w:footer="708"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619D9A63" w14:textId="77777777" w:rsidR="009341F5" w:rsidRDefault="009341F5" w:rsidP="00AE3B02">
      <w:pPr>
        <w:spacing w:line="240" w:lineRule="auto"/>
      </w:pPr>
      <w:r>
        <w:separator/>
      </w:r>
    </w:p>
  </w:endnote>
  <w:endnote w:type="continuationSeparator" w:id="0">
    <w:p w14:paraId="7AF6B034" w14:textId="77777777" w:rsidR="009341F5" w:rsidRDefault="009341F5" w:rsidP="00AE3B02">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inion Pro">
    <w:altName w:val="Cambria Math"/>
    <w:charset w:val="00"/>
    <w:family w:val="auto"/>
    <w:pitch w:val="variable"/>
    <w:sig w:usb0="00000001" w:usb1="00000001" w:usb2="00000000" w:usb3="00000000" w:csb0="0000019F" w:csb1="00000000"/>
  </w:font>
  <w:font w:name="Cambria">
    <w:panose1 w:val="02040503050406030204"/>
    <w:charset w:val="00"/>
    <w:family w:val="roman"/>
    <w:pitch w:val="variable"/>
    <w:sig w:usb0="E00002FF" w:usb1="400004FF" w:usb2="00000000" w:usb3="00000000" w:csb0="0000019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Trebuchet MS">
    <w:panose1 w:val="020B0603020202020204"/>
    <w:charset w:val="00"/>
    <w:family w:val="swiss"/>
    <w:pitch w:val="variable"/>
    <w:sig w:usb0="00000287" w:usb1="00000000" w:usb2="00000000" w:usb3="00000000" w:csb0="0000009F" w:csb1="00000000"/>
  </w:font>
  <w:font w:name="Calibri">
    <w:panose1 w:val="020F0502020204030204"/>
    <w:charset w:val="00"/>
    <w:family w:val="swiss"/>
    <w:pitch w:val="variable"/>
    <w:sig w:usb0="E00002FF" w:usb1="4000ACFF" w:usb2="00000001" w:usb3="00000000" w:csb0="0000019F" w:csb1="00000000"/>
  </w:font>
  <w:font w:name="MS Gothic">
    <w:altName w:val="ＭＳ ゴシック"/>
    <w:panose1 w:val="020B0609070205080204"/>
    <w:charset w:val="80"/>
    <w:family w:val="modern"/>
    <w:pitch w:val="fixed"/>
    <w:sig w:usb0="E00002FF" w:usb1="6AC7FDFB" w:usb2="00000012" w:usb3="00000000" w:csb0="0002009F" w:csb1="00000000"/>
  </w:font>
  <w:font w:name="Lucida Grande">
    <w:charset w:val="00"/>
    <w:family w:val="auto"/>
    <w:pitch w:val="variable"/>
    <w:sig w:usb0="00000003" w:usb1="00000000" w:usb2="00000000" w:usb3="00000000" w:csb0="00000001" w:csb1="00000000"/>
  </w:font>
  <w:font w:name="Palatino">
    <w:altName w:val="Book Antiqua"/>
    <w:charset w:val="00"/>
    <w:family w:val="auto"/>
    <w:pitch w:val="variable"/>
    <w:sig w:usb0="A00002FF" w:usb1="7800205A" w:usb2="14600000" w:usb3="00000000" w:csb0="00000193" w:csb1="00000000"/>
  </w:font>
  <w:font w:name="Eurostile">
    <w:altName w:val="Segoe Script"/>
    <w:charset w:val="00"/>
    <w:family w:val="auto"/>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1F64F55" w14:textId="77777777" w:rsidR="003E7848" w:rsidRDefault="003E7848" w:rsidP="007E1CE7">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614E16FD" w14:textId="77777777" w:rsidR="003E7848" w:rsidRDefault="003E7848" w:rsidP="007E1CE7">
    <w:pPr>
      <w:pStyle w:val="Footer"/>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0CB555F" w14:textId="77777777" w:rsidR="003E7848" w:rsidRPr="007E1CE7" w:rsidRDefault="003E7848" w:rsidP="007E1CE7">
    <w:pPr>
      <w:pStyle w:val="Footer"/>
      <w:framePr w:wrap="around" w:vAnchor="text" w:hAnchor="margin" w:xAlign="right" w:y="1"/>
      <w:rPr>
        <w:rStyle w:val="PageNumber"/>
        <w:rFonts w:ascii="Palatino" w:hAnsi="Palatino"/>
      </w:rPr>
    </w:pPr>
    <w:r w:rsidRPr="007E1CE7">
      <w:rPr>
        <w:rStyle w:val="PageNumber"/>
        <w:rFonts w:ascii="Palatino" w:hAnsi="Palatino"/>
      </w:rPr>
      <w:fldChar w:fldCharType="begin"/>
    </w:r>
    <w:r w:rsidRPr="007E1CE7">
      <w:rPr>
        <w:rStyle w:val="PageNumber"/>
        <w:rFonts w:ascii="Palatino" w:hAnsi="Palatino"/>
      </w:rPr>
      <w:instrText xml:space="preserve">PAGE  </w:instrText>
    </w:r>
    <w:r w:rsidRPr="007E1CE7">
      <w:rPr>
        <w:rStyle w:val="PageNumber"/>
        <w:rFonts w:ascii="Palatino" w:hAnsi="Palatino"/>
      </w:rPr>
      <w:fldChar w:fldCharType="separate"/>
    </w:r>
    <w:r w:rsidR="00975948">
      <w:rPr>
        <w:rStyle w:val="PageNumber"/>
        <w:rFonts w:ascii="Palatino" w:hAnsi="Palatino"/>
        <w:noProof/>
      </w:rPr>
      <w:t>2</w:t>
    </w:r>
    <w:r w:rsidRPr="007E1CE7">
      <w:rPr>
        <w:rStyle w:val="PageNumber"/>
        <w:rFonts w:ascii="Palatino" w:hAnsi="Palatino"/>
      </w:rPr>
      <w:fldChar w:fldCharType="end"/>
    </w:r>
  </w:p>
  <w:p w14:paraId="1396CB39" w14:textId="77777777" w:rsidR="003E7848" w:rsidRDefault="003E7848" w:rsidP="007E1CE7">
    <w:pPr>
      <w:pStyle w:val="Footer"/>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39AAFB2" w14:textId="77777777" w:rsidR="009341F5" w:rsidRDefault="009341F5" w:rsidP="00AE3B02">
      <w:pPr>
        <w:spacing w:line="240" w:lineRule="auto"/>
      </w:pPr>
      <w:r>
        <w:separator/>
      </w:r>
    </w:p>
  </w:footnote>
  <w:footnote w:type="continuationSeparator" w:id="0">
    <w:p w14:paraId="0EA1A011" w14:textId="77777777" w:rsidR="009341F5" w:rsidRDefault="009341F5" w:rsidP="00AE3B02">
      <w:pPr>
        <w:spacing w:line="240" w:lineRule="auto"/>
      </w:pPr>
      <w:r>
        <w:continuationSeparator/>
      </w:r>
    </w:p>
  </w:footnote>
  <w:footnote w:id="1">
    <w:p w14:paraId="600E7D92" w14:textId="77777777" w:rsidR="003E7848" w:rsidRDefault="003E7848" w:rsidP="003E7848">
      <w:pPr>
        <w:pStyle w:val="FootnoteText"/>
      </w:pPr>
      <w:r>
        <w:rPr>
          <w:rStyle w:val="FootnoteReference"/>
        </w:rPr>
        <w:footnoteRef/>
      </w:r>
      <w:r>
        <w:t xml:space="preserve"> </w:t>
      </w:r>
      <w:r w:rsidRPr="004D502C">
        <w:t>http://www.jisc.ac.uk/guides/developing-students-digital-literacy</w:t>
      </w:r>
    </w:p>
  </w:footnote>
  <w:footnote w:id="2">
    <w:p w14:paraId="26F4241B" w14:textId="77777777" w:rsidR="003E7848" w:rsidRPr="007F3976" w:rsidRDefault="003E7848" w:rsidP="003E7848">
      <w:pPr>
        <w:pStyle w:val="FootnoteText"/>
      </w:pPr>
      <w:r>
        <w:rPr>
          <w:rStyle w:val="FootnoteReference"/>
        </w:rPr>
        <w:footnoteRef/>
      </w:r>
      <w:r>
        <w:t xml:space="preserve"> </w:t>
      </w:r>
      <w:r w:rsidRPr="007F3976">
        <w:t>Greaves D</w:t>
      </w:r>
      <w:r>
        <w:t>,</w:t>
      </w:r>
      <w:r w:rsidRPr="007F3976">
        <w:t xml:space="preserve"> personal communication, Director of TENET, January 2014 </w:t>
      </w:r>
    </w:p>
    <w:p w14:paraId="7F19E005" w14:textId="77777777" w:rsidR="003E7848" w:rsidRDefault="003E7848" w:rsidP="003E7848">
      <w:pPr>
        <w:pStyle w:val="FootnoteText"/>
      </w:pPr>
    </w:p>
  </w:footnote>
  <w:footnote w:id="3">
    <w:p w14:paraId="1EB41335" w14:textId="77777777" w:rsidR="003E7848" w:rsidRDefault="003E7848" w:rsidP="003E7848">
      <w:pPr>
        <w:pStyle w:val="FootnoteText"/>
      </w:pPr>
      <w:r>
        <w:rPr>
          <w:rStyle w:val="FootnoteReference"/>
        </w:rPr>
        <w:footnoteRef/>
      </w:r>
      <w:r>
        <w:t xml:space="preserve"> </w:t>
      </w:r>
      <w:r w:rsidRPr="00B4659E">
        <w:t xml:space="preserve">see: </w:t>
      </w:r>
      <w:r>
        <w:rPr>
          <w:rFonts w:ascii="Calibri" w:eastAsia="Calibri" w:hAnsi="Calibri" w:cs="Calibri"/>
        </w:rPr>
        <w:t>h</w:t>
      </w:r>
      <w:hyperlink r:id="rId1">
        <w:r>
          <w:rPr>
            <w:rFonts w:ascii="Calibri" w:eastAsia="Calibri" w:hAnsi="Calibri" w:cs="Calibri"/>
          </w:rPr>
          <w:t>ttp</w:t>
        </w:r>
      </w:hyperlink>
      <w:hyperlink r:id="rId2">
        <w:r>
          <w:t>:</w:t>
        </w:r>
      </w:hyperlink>
      <w:hyperlink r:id="rId3">
        <w:r>
          <w:rPr>
            <w:color w:val="1155CC"/>
            <w:u w:val="single"/>
          </w:rPr>
          <w:t>//www.sun.ac.za/english/Lists/news/DispForm.aspx?ID=1989</w:t>
        </w:r>
      </w:hyperlink>
      <w:r>
        <w:t xml:space="preserve"> and Wits at: </w:t>
      </w:r>
      <w:hyperlink r:id="rId4">
        <w:r>
          <w:rPr>
            <w:color w:val="1155CC"/>
            <w:u w:val="single"/>
          </w:rPr>
          <w:t>http://www.wits.ac.za/students/3897/webct.html</w:t>
        </w:r>
      </w:hyperlink>
      <w:r>
        <w:t>)</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31C5235" w14:textId="47E4D331" w:rsidR="003E7848" w:rsidRDefault="003E7848">
    <w:pPr>
      <w:pStyle w:val="Header"/>
    </w:pPr>
    <w:r w:rsidRPr="00AE3B02">
      <w:rPr>
        <w:noProof/>
        <w:lang w:val="en-ZA" w:eastAsia="en-ZA"/>
      </w:rPr>
      <w:drawing>
        <wp:anchor distT="0" distB="0" distL="114300" distR="114300" simplePos="0" relativeHeight="251659264" behindDoc="0" locked="0" layoutInCell="1" allowOverlap="1" wp14:anchorId="1A8DA879" wp14:editId="3086EAD9">
          <wp:simplePos x="0" y="0"/>
          <wp:positionH relativeFrom="column">
            <wp:posOffset>-114300</wp:posOffset>
          </wp:positionH>
          <wp:positionV relativeFrom="paragraph">
            <wp:posOffset>-72390</wp:posOffset>
          </wp:positionV>
          <wp:extent cx="6034227" cy="294640"/>
          <wp:effectExtent l="0" t="0" r="11430" b="10160"/>
          <wp:wrapNone/>
          <wp:docPr id="6" name="Pictur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per_bg_top.jpg"/>
                  <pic:cNvPicPr/>
                </pic:nvPicPr>
                <pic:blipFill>
                  <a:blip r:embed="rId1">
                    <a:extLst>
                      <a:ext uri="{28A0092B-C50C-407E-A947-70E740481C1C}">
                        <a14:useLocalDpi xmlns:a14="http://schemas.microsoft.com/office/drawing/2010/main" val="0"/>
                      </a:ext>
                    </a:extLst>
                  </a:blip>
                  <a:stretch>
                    <a:fillRect/>
                  </a:stretch>
                </pic:blipFill>
                <pic:spPr>
                  <a:xfrm>
                    <a:off x="0" y="0"/>
                    <a:ext cx="6034227" cy="294640"/>
                  </a:xfrm>
                  <a:prstGeom prst="rect">
                    <a:avLst/>
                  </a:prstGeom>
                </pic:spPr>
              </pic:pic>
            </a:graphicData>
          </a:graphic>
          <wp14:sizeRelH relativeFrom="page">
            <wp14:pctWidth>0</wp14:pctWidth>
          </wp14:sizeRelH>
          <wp14:sizeRelV relativeFrom="page">
            <wp14:pctHeight>0</wp14:pctHeight>
          </wp14:sizeRelV>
        </wp:anchor>
      </w:drawing>
    </w: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21E9E70" w14:textId="4E5E82B7" w:rsidR="003E7848" w:rsidRDefault="003E7848">
    <w:pPr>
      <w:pStyle w:val="Header"/>
    </w:pPr>
    <w:r w:rsidRPr="00AE3B02">
      <w:rPr>
        <w:noProof/>
        <w:lang w:val="en-ZA" w:eastAsia="en-ZA"/>
      </w:rPr>
      <w:drawing>
        <wp:anchor distT="0" distB="0" distL="114300" distR="114300" simplePos="0" relativeHeight="251662336" behindDoc="0" locked="0" layoutInCell="1" allowOverlap="1" wp14:anchorId="7E6039DD" wp14:editId="1AC97DB3">
          <wp:simplePos x="0" y="0"/>
          <wp:positionH relativeFrom="column">
            <wp:posOffset>-114300</wp:posOffset>
          </wp:positionH>
          <wp:positionV relativeFrom="paragraph">
            <wp:posOffset>-137795</wp:posOffset>
          </wp:positionV>
          <wp:extent cx="6034227" cy="294640"/>
          <wp:effectExtent l="0" t="0" r="11430" b="10160"/>
          <wp:wrapNone/>
          <wp:docPr id="15" name="Pictur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per_bg_top.jpg"/>
                  <pic:cNvPicPr/>
                </pic:nvPicPr>
                <pic:blipFill>
                  <a:blip r:embed="rId1">
                    <a:extLst>
                      <a:ext uri="{28A0092B-C50C-407E-A947-70E740481C1C}">
                        <a14:useLocalDpi xmlns:a14="http://schemas.microsoft.com/office/drawing/2010/main" val="0"/>
                      </a:ext>
                    </a:extLst>
                  </a:blip>
                  <a:stretch>
                    <a:fillRect/>
                  </a:stretch>
                </pic:blipFill>
                <pic:spPr>
                  <a:xfrm>
                    <a:off x="0" y="0"/>
                    <a:ext cx="6034227" cy="294640"/>
                  </a:xfrm>
                  <a:prstGeom prst="rect">
                    <a:avLst/>
                  </a:prstGeom>
                </pic:spPr>
              </pic:pic>
            </a:graphicData>
          </a:graphic>
          <wp14:sizeRelH relativeFrom="page">
            <wp14:pctWidth>0</wp14:pctWidth>
          </wp14:sizeRelH>
          <wp14:sizeRelV relativeFrom="page">
            <wp14:pctHeight>0</wp14:pctHeight>
          </wp14:sizeRelV>
        </wp:anchor>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5BB0A4A"/>
    <w:multiLevelType w:val="multilevel"/>
    <w:tmpl w:val="F196C89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1">
    <w:nsid w:val="074751D1"/>
    <w:multiLevelType w:val="hybridMultilevel"/>
    <w:tmpl w:val="EA1E17E2"/>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2">
    <w:nsid w:val="1C7E466C"/>
    <w:multiLevelType w:val="multilevel"/>
    <w:tmpl w:val="CC069D1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5557941"/>
    <w:multiLevelType w:val="multilevel"/>
    <w:tmpl w:val="2390C550"/>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4">
    <w:nsid w:val="349C0530"/>
    <w:multiLevelType w:val="multilevel"/>
    <w:tmpl w:val="5C1869DC"/>
    <w:lvl w:ilvl="0">
      <w:start w:val="1"/>
      <w:numFmt w:val="decimal"/>
      <w:lvlText w:val="%1."/>
      <w:lvlJc w:val="left"/>
      <w:pPr>
        <w:ind w:left="720" w:firstLine="360"/>
      </w:pPr>
      <w:rPr>
        <w:rFonts w:ascii="Minion Pro" w:hAnsi="Minion Pro" w:hint="default"/>
        <w:sz w:val="22"/>
        <w:szCs w:val="22"/>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5">
    <w:nsid w:val="3D16296C"/>
    <w:multiLevelType w:val="hybridMultilevel"/>
    <w:tmpl w:val="83A4C93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nsid w:val="3E40612A"/>
    <w:multiLevelType w:val="multilevel"/>
    <w:tmpl w:val="87AE853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40E97C8A"/>
    <w:multiLevelType w:val="hybridMultilevel"/>
    <w:tmpl w:val="62827F86"/>
    <w:lvl w:ilvl="0" w:tplc="8AEE7712">
      <w:start w:val="1"/>
      <w:numFmt w:val="decimal"/>
      <w:lvlText w:val="%1."/>
      <w:lvlJc w:val="left"/>
      <w:pPr>
        <w:ind w:left="720" w:hanging="36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DDA74D8"/>
    <w:multiLevelType w:val="multilevel"/>
    <w:tmpl w:val="A45615DC"/>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abstractNum w:abstractNumId="9">
    <w:nsid w:val="69B34AE9"/>
    <w:multiLevelType w:val="hybridMultilevel"/>
    <w:tmpl w:val="0526CC44"/>
    <w:lvl w:ilvl="0" w:tplc="1C090001">
      <w:start w:val="1"/>
      <w:numFmt w:val="bullet"/>
      <w:lvlText w:val=""/>
      <w:lvlJc w:val="left"/>
      <w:pPr>
        <w:ind w:left="720" w:hanging="360"/>
      </w:pPr>
      <w:rPr>
        <w:rFonts w:ascii="Symbol" w:hAnsi="Symbol" w:hint="default"/>
      </w:rPr>
    </w:lvl>
    <w:lvl w:ilvl="1" w:tplc="1C090003" w:tentative="1">
      <w:start w:val="1"/>
      <w:numFmt w:val="bullet"/>
      <w:lvlText w:val="o"/>
      <w:lvlJc w:val="left"/>
      <w:pPr>
        <w:ind w:left="1440" w:hanging="360"/>
      </w:pPr>
      <w:rPr>
        <w:rFonts w:ascii="Courier New" w:hAnsi="Courier New" w:cs="Courier New" w:hint="default"/>
      </w:rPr>
    </w:lvl>
    <w:lvl w:ilvl="2" w:tplc="1C090005" w:tentative="1">
      <w:start w:val="1"/>
      <w:numFmt w:val="bullet"/>
      <w:lvlText w:val=""/>
      <w:lvlJc w:val="left"/>
      <w:pPr>
        <w:ind w:left="2160" w:hanging="360"/>
      </w:pPr>
      <w:rPr>
        <w:rFonts w:ascii="Wingdings" w:hAnsi="Wingdings" w:hint="default"/>
      </w:rPr>
    </w:lvl>
    <w:lvl w:ilvl="3" w:tplc="1C090001" w:tentative="1">
      <w:start w:val="1"/>
      <w:numFmt w:val="bullet"/>
      <w:lvlText w:val=""/>
      <w:lvlJc w:val="left"/>
      <w:pPr>
        <w:ind w:left="2880" w:hanging="360"/>
      </w:pPr>
      <w:rPr>
        <w:rFonts w:ascii="Symbol" w:hAnsi="Symbol" w:hint="default"/>
      </w:rPr>
    </w:lvl>
    <w:lvl w:ilvl="4" w:tplc="1C090003" w:tentative="1">
      <w:start w:val="1"/>
      <w:numFmt w:val="bullet"/>
      <w:lvlText w:val="o"/>
      <w:lvlJc w:val="left"/>
      <w:pPr>
        <w:ind w:left="3600" w:hanging="360"/>
      </w:pPr>
      <w:rPr>
        <w:rFonts w:ascii="Courier New" w:hAnsi="Courier New" w:cs="Courier New" w:hint="default"/>
      </w:rPr>
    </w:lvl>
    <w:lvl w:ilvl="5" w:tplc="1C090005" w:tentative="1">
      <w:start w:val="1"/>
      <w:numFmt w:val="bullet"/>
      <w:lvlText w:val=""/>
      <w:lvlJc w:val="left"/>
      <w:pPr>
        <w:ind w:left="4320" w:hanging="360"/>
      </w:pPr>
      <w:rPr>
        <w:rFonts w:ascii="Wingdings" w:hAnsi="Wingdings" w:hint="default"/>
      </w:rPr>
    </w:lvl>
    <w:lvl w:ilvl="6" w:tplc="1C090001" w:tentative="1">
      <w:start w:val="1"/>
      <w:numFmt w:val="bullet"/>
      <w:lvlText w:val=""/>
      <w:lvlJc w:val="left"/>
      <w:pPr>
        <w:ind w:left="5040" w:hanging="360"/>
      </w:pPr>
      <w:rPr>
        <w:rFonts w:ascii="Symbol" w:hAnsi="Symbol" w:hint="default"/>
      </w:rPr>
    </w:lvl>
    <w:lvl w:ilvl="7" w:tplc="1C090003" w:tentative="1">
      <w:start w:val="1"/>
      <w:numFmt w:val="bullet"/>
      <w:lvlText w:val="o"/>
      <w:lvlJc w:val="left"/>
      <w:pPr>
        <w:ind w:left="5760" w:hanging="360"/>
      </w:pPr>
      <w:rPr>
        <w:rFonts w:ascii="Courier New" w:hAnsi="Courier New" w:cs="Courier New" w:hint="default"/>
      </w:rPr>
    </w:lvl>
    <w:lvl w:ilvl="8" w:tplc="1C090005" w:tentative="1">
      <w:start w:val="1"/>
      <w:numFmt w:val="bullet"/>
      <w:lvlText w:val=""/>
      <w:lvlJc w:val="left"/>
      <w:pPr>
        <w:ind w:left="6480" w:hanging="360"/>
      </w:pPr>
      <w:rPr>
        <w:rFonts w:ascii="Wingdings" w:hAnsi="Wingdings" w:hint="default"/>
      </w:rPr>
    </w:lvl>
  </w:abstractNum>
  <w:abstractNum w:abstractNumId="10">
    <w:nsid w:val="77B6566B"/>
    <w:multiLevelType w:val="multilevel"/>
    <w:tmpl w:val="0A001116"/>
    <w:lvl w:ilvl="0">
      <w:start w:val="1"/>
      <w:numFmt w:val="bullet"/>
      <w:lvlText w:val="●"/>
      <w:lvlJc w:val="left"/>
      <w:pPr>
        <w:ind w:left="720" w:firstLine="360"/>
      </w:pPr>
      <w:rPr>
        <w:u w:val="none"/>
      </w:rPr>
    </w:lvl>
    <w:lvl w:ilvl="1">
      <w:start w:val="1"/>
      <w:numFmt w:val="bullet"/>
      <w:lvlText w:val="○"/>
      <w:lvlJc w:val="left"/>
      <w:pPr>
        <w:ind w:left="1440" w:firstLine="1080"/>
      </w:pPr>
      <w:rPr>
        <w:u w:val="none"/>
      </w:rPr>
    </w:lvl>
    <w:lvl w:ilvl="2">
      <w:start w:val="1"/>
      <w:numFmt w:val="bullet"/>
      <w:lvlText w:val="■"/>
      <w:lvlJc w:val="left"/>
      <w:pPr>
        <w:ind w:left="2160" w:firstLine="1800"/>
      </w:pPr>
      <w:rPr>
        <w:u w:val="none"/>
      </w:rPr>
    </w:lvl>
    <w:lvl w:ilvl="3">
      <w:start w:val="1"/>
      <w:numFmt w:val="bullet"/>
      <w:lvlText w:val="●"/>
      <w:lvlJc w:val="left"/>
      <w:pPr>
        <w:ind w:left="2880" w:firstLine="2520"/>
      </w:pPr>
      <w:rPr>
        <w:u w:val="none"/>
      </w:rPr>
    </w:lvl>
    <w:lvl w:ilvl="4">
      <w:start w:val="1"/>
      <w:numFmt w:val="bullet"/>
      <w:lvlText w:val="○"/>
      <w:lvlJc w:val="left"/>
      <w:pPr>
        <w:ind w:left="3600" w:firstLine="3240"/>
      </w:pPr>
      <w:rPr>
        <w:u w:val="none"/>
      </w:rPr>
    </w:lvl>
    <w:lvl w:ilvl="5">
      <w:start w:val="1"/>
      <w:numFmt w:val="bullet"/>
      <w:lvlText w:val="■"/>
      <w:lvlJc w:val="left"/>
      <w:pPr>
        <w:ind w:left="4320" w:firstLine="3960"/>
      </w:pPr>
      <w:rPr>
        <w:u w:val="none"/>
      </w:rPr>
    </w:lvl>
    <w:lvl w:ilvl="6">
      <w:start w:val="1"/>
      <w:numFmt w:val="bullet"/>
      <w:lvlText w:val="●"/>
      <w:lvlJc w:val="left"/>
      <w:pPr>
        <w:ind w:left="5040" w:firstLine="4680"/>
      </w:pPr>
      <w:rPr>
        <w:u w:val="none"/>
      </w:rPr>
    </w:lvl>
    <w:lvl w:ilvl="7">
      <w:start w:val="1"/>
      <w:numFmt w:val="bullet"/>
      <w:lvlText w:val="○"/>
      <w:lvlJc w:val="left"/>
      <w:pPr>
        <w:ind w:left="5760" w:firstLine="5400"/>
      </w:pPr>
      <w:rPr>
        <w:u w:val="none"/>
      </w:rPr>
    </w:lvl>
    <w:lvl w:ilvl="8">
      <w:start w:val="1"/>
      <w:numFmt w:val="bullet"/>
      <w:lvlText w:val="■"/>
      <w:lvlJc w:val="left"/>
      <w:pPr>
        <w:ind w:left="6480" w:firstLine="6120"/>
      </w:pPr>
      <w:rPr>
        <w:u w:val="none"/>
      </w:rPr>
    </w:lvl>
  </w:abstractNum>
  <w:num w:numId="1">
    <w:abstractNumId w:val="8"/>
  </w:num>
  <w:num w:numId="2">
    <w:abstractNumId w:val="0"/>
  </w:num>
  <w:num w:numId="3">
    <w:abstractNumId w:val="10"/>
  </w:num>
  <w:num w:numId="4">
    <w:abstractNumId w:val="3"/>
  </w:num>
  <w:num w:numId="5">
    <w:abstractNumId w:val="1"/>
  </w:num>
  <w:num w:numId="6">
    <w:abstractNumId w:val="9"/>
  </w:num>
  <w:num w:numId="7">
    <w:abstractNumId w:val="5"/>
  </w:num>
  <w:num w:numId="8">
    <w:abstractNumId w:val="7"/>
  </w:num>
  <w:num w:numId="9">
    <w:abstractNumId w:val="6"/>
  </w:num>
  <w:num w:numId="10">
    <w:abstractNumId w:val="2"/>
  </w:num>
  <w:num w:numId="11">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6"/>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E3B02"/>
    <w:rsid w:val="00015248"/>
    <w:rsid w:val="000B1E78"/>
    <w:rsid w:val="000F75F2"/>
    <w:rsid w:val="00155BC2"/>
    <w:rsid w:val="001F3563"/>
    <w:rsid w:val="00210BE5"/>
    <w:rsid w:val="003B2FC4"/>
    <w:rsid w:val="003B7EC6"/>
    <w:rsid w:val="003E7848"/>
    <w:rsid w:val="004E55B7"/>
    <w:rsid w:val="0062380A"/>
    <w:rsid w:val="00625D6A"/>
    <w:rsid w:val="0063281E"/>
    <w:rsid w:val="00664F66"/>
    <w:rsid w:val="00695F8D"/>
    <w:rsid w:val="00727764"/>
    <w:rsid w:val="007E1CE7"/>
    <w:rsid w:val="008D4F32"/>
    <w:rsid w:val="00924067"/>
    <w:rsid w:val="009341F5"/>
    <w:rsid w:val="00937122"/>
    <w:rsid w:val="00975948"/>
    <w:rsid w:val="00A14E6B"/>
    <w:rsid w:val="00A25CDA"/>
    <w:rsid w:val="00AE3B02"/>
    <w:rsid w:val="00B91ED7"/>
    <w:rsid w:val="00C11F8D"/>
    <w:rsid w:val="00CF799D"/>
    <w:rsid w:val="00D034A5"/>
    <w:rsid w:val="00D967DD"/>
    <w:rsid w:val="00E203EC"/>
    <w:rsid w:val="00E902EA"/>
    <w:rsid w:val="00E91E06"/>
    <w:rsid w:val="00F057BA"/>
    <w:rsid w:val="00FC58C1"/>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36338274"/>
  <w14:defaultImageDpi w14:val="3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AE3B02"/>
    <w:pPr>
      <w:spacing w:line="276" w:lineRule="auto"/>
    </w:pPr>
    <w:rPr>
      <w:rFonts w:ascii="Arial" w:eastAsia="Arial" w:hAnsi="Arial" w:cs="Arial"/>
      <w:color w:val="000000"/>
      <w:sz w:val="22"/>
      <w:szCs w:val="20"/>
      <w:lang w:val="en-ZA" w:eastAsia="en-ZA"/>
    </w:rPr>
  </w:style>
  <w:style w:type="paragraph" w:styleId="Heading1">
    <w:name w:val="heading 1"/>
    <w:basedOn w:val="Normal"/>
    <w:next w:val="Normal"/>
    <w:link w:val="Heading1Char"/>
    <w:rsid w:val="00AE3B02"/>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link w:val="Heading2Char"/>
    <w:uiPriority w:val="9"/>
    <w:semiHidden/>
    <w:unhideWhenUsed/>
    <w:qFormat/>
    <w:rsid w:val="00155BC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155BC2"/>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E3B02"/>
    <w:pPr>
      <w:tabs>
        <w:tab w:val="center" w:pos="4320"/>
        <w:tab w:val="right" w:pos="8640"/>
      </w:tabs>
      <w:spacing w:line="240" w:lineRule="auto"/>
    </w:pPr>
    <w:rPr>
      <w:rFonts w:asciiTheme="minorHAnsi" w:eastAsiaTheme="minorEastAsia" w:hAnsiTheme="minorHAnsi" w:cstheme="minorBidi"/>
      <w:color w:val="auto"/>
      <w:sz w:val="24"/>
      <w:szCs w:val="24"/>
      <w:lang w:val="en-US" w:eastAsia="en-US"/>
    </w:rPr>
  </w:style>
  <w:style w:type="character" w:customStyle="1" w:styleId="HeaderChar">
    <w:name w:val="Header Char"/>
    <w:basedOn w:val="DefaultParagraphFont"/>
    <w:link w:val="Header"/>
    <w:uiPriority w:val="99"/>
    <w:rsid w:val="00AE3B02"/>
  </w:style>
  <w:style w:type="paragraph" w:styleId="Footer">
    <w:name w:val="footer"/>
    <w:basedOn w:val="Normal"/>
    <w:link w:val="FooterChar"/>
    <w:uiPriority w:val="99"/>
    <w:unhideWhenUsed/>
    <w:rsid w:val="00AE3B02"/>
    <w:pPr>
      <w:tabs>
        <w:tab w:val="center" w:pos="4320"/>
        <w:tab w:val="right" w:pos="8640"/>
      </w:tabs>
      <w:spacing w:line="240" w:lineRule="auto"/>
    </w:pPr>
    <w:rPr>
      <w:rFonts w:asciiTheme="minorHAnsi" w:eastAsiaTheme="minorEastAsia" w:hAnsiTheme="minorHAnsi" w:cstheme="minorBidi"/>
      <w:color w:val="auto"/>
      <w:sz w:val="24"/>
      <w:szCs w:val="24"/>
      <w:lang w:val="en-US" w:eastAsia="en-US"/>
    </w:rPr>
  </w:style>
  <w:style w:type="character" w:customStyle="1" w:styleId="FooterChar">
    <w:name w:val="Footer Char"/>
    <w:basedOn w:val="DefaultParagraphFont"/>
    <w:link w:val="Footer"/>
    <w:uiPriority w:val="99"/>
    <w:rsid w:val="00AE3B02"/>
  </w:style>
  <w:style w:type="character" w:customStyle="1" w:styleId="Heading1Char">
    <w:name w:val="Heading 1 Char"/>
    <w:basedOn w:val="DefaultParagraphFont"/>
    <w:link w:val="Heading1"/>
    <w:rsid w:val="00AE3B02"/>
    <w:rPr>
      <w:rFonts w:ascii="Trebuchet MS" w:eastAsia="Trebuchet MS" w:hAnsi="Trebuchet MS" w:cs="Trebuchet MS"/>
      <w:color w:val="000000"/>
      <w:sz w:val="32"/>
      <w:szCs w:val="20"/>
      <w:lang w:val="en-ZA" w:eastAsia="en-ZA"/>
    </w:rPr>
  </w:style>
  <w:style w:type="paragraph" w:styleId="Title">
    <w:name w:val="Title"/>
    <w:basedOn w:val="Normal"/>
    <w:next w:val="Normal"/>
    <w:link w:val="TitleChar"/>
    <w:rsid w:val="00AE3B02"/>
    <w:pPr>
      <w:keepNext/>
      <w:keepLines/>
      <w:contextualSpacing/>
    </w:pPr>
    <w:rPr>
      <w:rFonts w:ascii="Trebuchet MS" w:eastAsia="Trebuchet MS" w:hAnsi="Trebuchet MS" w:cs="Trebuchet MS"/>
      <w:sz w:val="42"/>
    </w:rPr>
  </w:style>
  <w:style w:type="character" w:customStyle="1" w:styleId="TitleChar">
    <w:name w:val="Title Char"/>
    <w:basedOn w:val="DefaultParagraphFont"/>
    <w:link w:val="Title"/>
    <w:rsid w:val="00AE3B02"/>
    <w:rPr>
      <w:rFonts w:ascii="Trebuchet MS" w:eastAsia="Trebuchet MS" w:hAnsi="Trebuchet MS" w:cs="Trebuchet MS"/>
      <w:color w:val="000000"/>
      <w:sz w:val="42"/>
      <w:szCs w:val="20"/>
      <w:lang w:val="en-ZA" w:eastAsia="en-ZA"/>
    </w:rPr>
  </w:style>
  <w:style w:type="paragraph" w:styleId="BalloonText">
    <w:name w:val="Balloon Text"/>
    <w:basedOn w:val="Normal"/>
    <w:link w:val="BalloonTextChar"/>
    <w:uiPriority w:val="99"/>
    <w:semiHidden/>
    <w:unhideWhenUsed/>
    <w:rsid w:val="00AE3B02"/>
    <w:pPr>
      <w:spacing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AE3B02"/>
    <w:rPr>
      <w:rFonts w:ascii="Lucida Grande" w:eastAsia="Arial" w:hAnsi="Lucida Grande" w:cs="Arial"/>
      <w:color w:val="000000"/>
      <w:sz w:val="18"/>
      <w:szCs w:val="18"/>
      <w:lang w:val="en-ZA" w:eastAsia="en-ZA"/>
    </w:rPr>
  </w:style>
  <w:style w:type="table" w:styleId="MediumGrid3">
    <w:name w:val="Medium Grid 3"/>
    <w:basedOn w:val="TableNormal"/>
    <w:uiPriority w:val="69"/>
    <w:rsid w:val="00AE3B02"/>
    <w:rPr>
      <w:rFonts w:ascii="Arial" w:eastAsia="Arial" w:hAnsi="Arial" w:cs="Arial"/>
      <w:color w:val="000000"/>
      <w:sz w:val="22"/>
      <w:szCs w:val="20"/>
      <w:lang w:val="en-ZA" w:eastAsia="en-Z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character" w:styleId="Hyperlink">
    <w:name w:val="Hyperlink"/>
    <w:basedOn w:val="DefaultParagraphFont"/>
    <w:uiPriority w:val="99"/>
    <w:unhideWhenUsed/>
    <w:rsid w:val="00AE3B02"/>
    <w:rPr>
      <w:color w:val="0000FF" w:themeColor="hyperlink"/>
      <w:u w:val="single"/>
    </w:rPr>
  </w:style>
  <w:style w:type="paragraph" w:styleId="Caption">
    <w:name w:val="caption"/>
    <w:basedOn w:val="Normal"/>
    <w:next w:val="Normal"/>
    <w:uiPriority w:val="35"/>
    <w:unhideWhenUsed/>
    <w:qFormat/>
    <w:rsid w:val="004E55B7"/>
    <w:pPr>
      <w:spacing w:after="200" w:line="240" w:lineRule="auto"/>
    </w:pPr>
    <w:rPr>
      <w:b/>
      <w:bCs/>
      <w:color w:val="4F81BD" w:themeColor="accent1"/>
      <w:sz w:val="18"/>
      <w:szCs w:val="18"/>
    </w:rPr>
  </w:style>
  <w:style w:type="character" w:styleId="Emphasis">
    <w:name w:val="Emphasis"/>
    <w:basedOn w:val="DefaultParagraphFont"/>
    <w:uiPriority w:val="20"/>
    <w:qFormat/>
    <w:rsid w:val="007E1CE7"/>
    <w:rPr>
      <w:i/>
      <w:iCs/>
    </w:rPr>
  </w:style>
  <w:style w:type="character" w:styleId="FollowedHyperlink">
    <w:name w:val="FollowedHyperlink"/>
    <w:basedOn w:val="DefaultParagraphFont"/>
    <w:uiPriority w:val="99"/>
    <w:semiHidden/>
    <w:unhideWhenUsed/>
    <w:rsid w:val="007E1CE7"/>
    <w:rPr>
      <w:color w:val="800080" w:themeColor="followedHyperlink"/>
      <w:u w:val="single"/>
    </w:rPr>
  </w:style>
  <w:style w:type="character" w:styleId="PageNumber">
    <w:name w:val="page number"/>
    <w:basedOn w:val="DefaultParagraphFont"/>
    <w:uiPriority w:val="99"/>
    <w:semiHidden/>
    <w:unhideWhenUsed/>
    <w:rsid w:val="007E1CE7"/>
  </w:style>
  <w:style w:type="character" w:customStyle="1" w:styleId="Heading2Char">
    <w:name w:val="Heading 2 Char"/>
    <w:basedOn w:val="DefaultParagraphFont"/>
    <w:link w:val="Heading2"/>
    <w:uiPriority w:val="9"/>
    <w:semiHidden/>
    <w:rsid w:val="00155BC2"/>
    <w:rPr>
      <w:rFonts w:asciiTheme="majorHAnsi" w:eastAsiaTheme="majorEastAsia" w:hAnsiTheme="majorHAnsi" w:cstheme="majorBidi"/>
      <w:b/>
      <w:bCs/>
      <w:color w:val="4F81BD" w:themeColor="accent1"/>
      <w:sz w:val="26"/>
      <w:szCs w:val="26"/>
      <w:lang w:val="en-ZA" w:eastAsia="en-ZA"/>
    </w:rPr>
  </w:style>
  <w:style w:type="paragraph" w:styleId="FootnoteText">
    <w:name w:val="footnote text"/>
    <w:basedOn w:val="Normal"/>
    <w:link w:val="FootnoteTextChar"/>
    <w:uiPriority w:val="99"/>
    <w:semiHidden/>
    <w:unhideWhenUsed/>
    <w:rsid w:val="00155BC2"/>
    <w:pPr>
      <w:spacing w:line="240" w:lineRule="auto"/>
    </w:pPr>
    <w:rPr>
      <w:sz w:val="20"/>
    </w:rPr>
  </w:style>
  <w:style w:type="character" w:customStyle="1" w:styleId="FootnoteTextChar">
    <w:name w:val="Footnote Text Char"/>
    <w:basedOn w:val="DefaultParagraphFont"/>
    <w:link w:val="FootnoteText"/>
    <w:uiPriority w:val="99"/>
    <w:semiHidden/>
    <w:rsid w:val="00155BC2"/>
    <w:rPr>
      <w:rFonts w:ascii="Arial" w:eastAsia="Arial" w:hAnsi="Arial" w:cs="Arial"/>
      <w:color w:val="000000"/>
      <w:sz w:val="20"/>
      <w:szCs w:val="20"/>
      <w:lang w:val="en-ZA" w:eastAsia="en-ZA"/>
    </w:rPr>
  </w:style>
  <w:style w:type="character" w:styleId="FootnoteReference">
    <w:name w:val="footnote reference"/>
    <w:basedOn w:val="DefaultParagraphFont"/>
    <w:uiPriority w:val="99"/>
    <w:semiHidden/>
    <w:unhideWhenUsed/>
    <w:rsid w:val="00155BC2"/>
    <w:rPr>
      <w:vertAlign w:val="superscript"/>
    </w:rPr>
  </w:style>
  <w:style w:type="paragraph" w:customStyle="1" w:styleId="Style1">
    <w:name w:val="Style1"/>
    <w:basedOn w:val="Normal"/>
    <w:link w:val="Style1Char"/>
    <w:qFormat/>
    <w:rsid w:val="00155BC2"/>
    <w:pPr>
      <w:spacing w:line="360" w:lineRule="auto"/>
    </w:pPr>
    <w:rPr>
      <w:rFonts w:ascii="Trebuchet MS" w:eastAsia="Trebuchet MS" w:hAnsi="Trebuchet MS" w:cs="Trebuchet MS"/>
      <w:b/>
      <w:sz w:val="26"/>
    </w:rPr>
  </w:style>
  <w:style w:type="paragraph" w:customStyle="1" w:styleId="Normal1">
    <w:name w:val="Normal1"/>
    <w:basedOn w:val="Normal"/>
    <w:link w:val="normalChar"/>
    <w:qFormat/>
    <w:rsid w:val="00155BC2"/>
    <w:pPr>
      <w:spacing w:line="360" w:lineRule="auto"/>
    </w:pPr>
  </w:style>
  <w:style w:type="character" w:customStyle="1" w:styleId="Style1Char">
    <w:name w:val="Style1 Char"/>
    <w:basedOn w:val="DefaultParagraphFont"/>
    <w:link w:val="Style1"/>
    <w:rsid w:val="00155BC2"/>
    <w:rPr>
      <w:rFonts w:ascii="Trebuchet MS" w:eastAsia="Trebuchet MS" w:hAnsi="Trebuchet MS" w:cs="Trebuchet MS"/>
      <w:b/>
      <w:color w:val="000000"/>
      <w:sz w:val="26"/>
      <w:szCs w:val="20"/>
      <w:lang w:val="en-ZA" w:eastAsia="en-ZA"/>
    </w:rPr>
  </w:style>
  <w:style w:type="character" w:customStyle="1" w:styleId="normalChar">
    <w:name w:val="normal Char"/>
    <w:basedOn w:val="DefaultParagraphFont"/>
    <w:link w:val="Normal1"/>
    <w:rsid w:val="00155BC2"/>
    <w:rPr>
      <w:rFonts w:ascii="Arial" w:eastAsia="Arial" w:hAnsi="Arial" w:cs="Arial"/>
      <w:color w:val="000000"/>
      <w:sz w:val="22"/>
      <w:szCs w:val="20"/>
      <w:lang w:val="en-ZA" w:eastAsia="en-ZA"/>
    </w:rPr>
  </w:style>
  <w:style w:type="character" w:customStyle="1" w:styleId="Heading3Char">
    <w:name w:val="Heading 3 Char"/>
    <w:basedOn w:val="DefaultParagraphFont"/>
    <w:link w:val="Heading3"/>
    <w:uiPriority w:val="9"/>
    <w:semiHidden/>
    <w:rsid w:val="00155BC2"/>
    <w:rPr>
      <w:rFonts w:asciiTheme="majorHAnsi" w:eastAsiaTheme="majorEastAsia" w:hAnsiTheme="majorHAnsi" w:cstheme="majorBidi"/>
      <w:b/>
      <w:bCs/>
      <w:color w:val="4F81BD" w:themeColor="accent1"/>
      <w:sz w:val="22"/>
      <w:szCs w:val="20"/>
      <w:lang w:val="en-ZA" w:eastAsia="en-ZA"/>
    </w:rPr>
  </w:style>
  <w:style w:type="paragraph" w:styleId="ListParagraph">
    <w:name w:val="List Paragraph"/>
    <w:basedOn w:val="Normal"/>
    <w:uiPriority w:val="34"/>
    <w:qFormat/>
    <w:rsid w:val="00155BC2"/>
    <w:pPr>
      <w:ind w:left="720"/>
      <w:contextualSpacing/>
    </w:pPr>
  </w:style>
  <w:style w:type="character" w:customStyle="1" w:styleId="byline">
    <w:name w:val="byline"/>
    <w:basedOn w:val="DefaultParagraphFont"/>
    <w:rsid w:val="00155BC2"/>
  </w:style>
  <w:style w:type="table" w:styleId="ColorfulList">
    <w:name w:val="Colorful List"/>
    <w:basedOn w:val="TableNormal"/>
    <w:uiPriority w:val="72"/>
    <w:rsid w:val="00B91ED7"/>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rsid w:val="00AE3B02"/>
    <w:pPr>
      <w:spacing w:line="276" w:lineRule="auto"/>
    </w:pPr>
    <w:rPr>
      <w:rFonts w:ascii="Arial" w:eastAsia="Arial" w:hAnsi="Arial" w:cs="Arial"/>
      <w:color w:val="000000"/>
      <w:sz w:val="22"/>
      <w:szCs w:val="20"/>
      <w:lang w:val="en-ZA" w:eastAsia="en-ZA"/>
    </w:rPr>
  </w:style>
  <w:style w:type="paragraph" w:styleId="Heading1">
    <w:name w:val="heading 1"/>
    <w:basedOn w:val="Normal"/>
    <w:next w:val="Normal"/>
    <w:link w:val="Heading1Char"/>
    <w:rsid w:val="00AE3B02"/>
    <w:pPr>
      <w:keepNext/>
      <w:keepLines/>
      <w:spacing w:before="200"/>
      <w:contextualSpacing/>
      <w:outlineLvl w:val="0"/>
    </w:pPr>
    <w:rPr>
      <w:rFonts w:ascii="Trebuchet MS" w:eastAsia="Trebuchet MS" w:hAnsi="Trebuchet MS" w:cs="Trebuchet MS"/>
      <w:sz w:val="32"/>
    </w:rPr>
  </w:style>
  <w:style w:type="paragraph" w:styleId="Heading2">
    <w:name w:val="heading 2"/>
    <w:basedOn w:val="Normal"/>
    <w:next w:val="Normal"/>
    <w:link w:val="Heading2Char"/>
    <w:uiPriority w:val="9"/>
    <w:semiHidden/>
    <w:unhideWhenUsed/>
    <w:qFormat/>
    <w:rsid w:val="00155BC2"/>
    <w:pPr>
      <w:keepNext/>
      <w:keepLines/>
      <w:spacing w:before="20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semiHidden/>
    <w:unhideWhenUsed/>
    <w:qFormat/>
    <w:rsid w:val="00155BC2"/>
    <w:pPr>
      <w:keepNext/>
      <w:keepLines/>
      <w:spacing w:before="200"/>
      <w:outlineLvl w:val="2"/>
    </w:pPr>
    <w:rPr>
      <w:rFonts w:asciiTheme="majorHAnsi" w:eastAsiaTheme="majorEastAsia" w:hAnsiTheme="majorHAnsi" w:cstheme="majorBidi"/>
      <w:b/>
      <w:bCs/>
      <w:color w:val="4F81BD"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AE3B02"/>
    <w:pPr>
      <w:tabs>
        <w:tab w:val="center" w:pos="4320"/>
        <w:tab w:val="right" w:pos="8640"/>
      </w:tabs>
      <w:spacing w:line="240" w:lineRule="auto"/>
    </w:pPr>
    <w:rPr>
      <w:rFonts w:asciiTheme="minorHAnsi" w:eastAsiaTheme="minorEastAsia" w:hAnsiTheme="minorHAnsi" w:cstheme="minorBidi"/>
      <w:color w:val="auto"/>
      <w:sz w:val="24"/>
      <w:szCs w:val="24"/>
      <w:lang w:val="en-US" w:eastAsia="en-US"/>
    </w:rPr>
  </w:style>
  <w:style w:type="character" w:customStyle="1" w:styleId="HeaderChar">
    <w:name w:val="Header Char"/>
    <w:basedOn w:val="DefaultParagraphFont"/>
    <w:link w:val="Header"/>
    <w:uiPriority w:val="99"/>
    <w:rsid w:val="00AE3B02"/>
  </w:style>
  <w:style w:type="paragraph" w:styleId="Footer">
    <w:name w:val="footer"/>
    <w:basedOn w:val="Normal"/>
    <w:link w:val="FooterChar"/>
    <w:uiPriority w:val="99"/>
    <w:unhideWhenUsed/>
    <w:rsid w:val="00AE3B02"/>
    <w:pPr>
      <w:tabs>
        <w:tab w:val="center" w:pos="4320"/>
        <w:tab w:val="right" w:pos="8640"/>
      </w:tabs>
      <w:spacing w:line="240" w:lineRule="auto"/>
    </w:pPr>
    <w:rPr>
      <w:rFonts w:asciiTheme="minorHAnsi" w:eastAsiaTheme="minorEastAsia" w:hAnsiTheme="minorHAnsi" w:cstheme="minorBidi"/>
      <w:color w:val="auto"/>
      <w:sz w:val="24"/>
      <w:szCs w:val="24"/>
      <w:lang w:val="en-US" w:eastAsia="en-US"/>
    </w:rPr>
  </w:style>
  <w:style w:type="character" w:customStyle="1" w:styleId="FooterChar">
    <w:name w:val="Footer Char"/>
    <w:basedOn w:val="DefaultParagraphFont"/>
    <w:link w:val="Footer"/>
    <w:uiPriority w:val="99"/>
    <w:rsid w:val="00AE3B02"/>
  </w:style>
  <w:style w:type="character" w:customStyle="1" w:styleId="Heading1Char">
    <w:name w:val="Heading 1 Char"/>
    <w:basedOn w:val="DefaultParagraphFont"/>
    <w:link w:val="Heading1"/>
    <w:rsid w:val="00AE3B02"/>
    <w:rPr>
      <w:rFonts w:ascii="Trebuchet MS" w:eastAsia="Trebuchet MS" w:hAnsi="Trebuchet MS" w:cs="Trebuchet MS"/>
      <w:color w:val="000000"/>
      <w:sz w:val="32"/>
      <w:szCs w:val="20"/>
      <w:lang w:val="en-ZA" w:eastAsia="en-ZA"/>
    </w:rPr>
  </w:style>
  <w:style w:type="paragraph" w:styleId="Title">
    <w:name w:val="Title"/>
    <w:basedOn w:val="Normal"/>
    <w:next w:val="Normal"/>
    <w:link w:val="TitleChar"/>
    <w:rsid w:val="00AE3B02"/>
    <w:pPr>
      <w:keepNext/>
      <w:keepLines/>
      <w:contextualSpacing/>
    </w:pPr>
    <w:rPr>
      <w:rFonts w:ascii="Trebuchet MS" w:eastAsia="Trebuchet MS" w:hAnsi="Trebuchet MS" w:cs="Trebuchet MS"/>
      <w:sz w:val="42"/>
    </w:rPr>
  </w:style>
  <w:style w:type="character" w:customStyle="1" w:styleId="TitleChar">
    <w:name w:val="Title Char"/>
    <w:basedOn w:val="DefaultParagraphFont"/>
    <w:link w:val="Title"/>
    <w:rsid w:val="00AE3B02"/>
    <w:rPr>
      <w:rFonts w:ascii="Trebuchet MS" w:eastAsia="Trebuchet MS" w:hAnsi="Trebuchet MS" w:cs="Trebuchet MS"/>
      <w:color w:val="000000"/>
      <w:sz w:val="42"/>
      <w:szCs w:val="20"/>
      <w:lang w:val="en-ZA" w:eastAsia="en-ZA"/>
    </w:rPr>
  </w:style>
  <w:style w:type="paragraph" w:styleId="BalloonText">
    <w:name w:val="Balloon Text"/>
    <w:basedOn w:val="Normal"/>
    <w:link w:val="BalloonTextChar"/>
    <w:uiPriority w:val="99"/>
    <w:semiHidden/>
    <w:unhideWhenUsed/>
    <w:rsid w:val="00AE3B02"/>
    <w:pPr>
      <w:spacing w:line="240" w:lineRule="auto"/>
    </w:pPr>
    <w:rPr>
      <w:rFonts w:ascii="Lucida Grande" w:hAnsi="Lucida Grande"/>
      <w:sz w:val="18"/>
      <w:szCs w:val="18"/>
    </w:rPr>
  </w:style>
  <w:style w:type="character" w:customStyle="1" w:styleId="BalloonTextChar">
    <w:name w:val="Balloon Text Char"/>
    <w:basedOn w:val="DefaultParagraphFont"/>
    <w:link w:val="BalloonText"/>
    <w:uiPriority w:val="99"/>
    <w:semiHidden/>
    <w:rsid w:val="00AE3B02"/>
    <w:rPr>
      <w:rFonts w:ascii="Lucida Grande" w:eastAsia="Arial" w:hAnsi="Lucida Grande" w:cs="Arial"/>
      <w:color w:val="000000"/>
      <w:sz w:val="18"/>
      <w:szCs w:val="18"/>
      <w:lang w:val="en-ZA" w:eastAsia="en-ZA"/>
    </w:rPr>
  </w:style>
  <w:style w:type="table" w:styleId="MediumGrid3">
    <w:name w:val="Medium Grid 3"/>
    <w:basedOn w:val="TableNormal"/>
    <w:uiPriority w:val="69"/>
    <w:rsid w:val="00AE3B02"/>
    <w:rPr>
      <w:rFonts w:ascii="Arial" w:eastAsia="Arial" w:hAnsi="Arial" w:cs="Arial"/>
      <w:color w:val="000000"/>
      <w:sz w:val="22"/>
      <w:szCs w:val="20"/>
      <w:lang w:val="en-ZA" w:eastAsia="en-Z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character" w:styleId="Hyperlink">
    <w:name w:val="Hyperlink"/>
    <w:basedOn w:val="DefaultParagraphFont"/>
    <w:uiPriority w:val="99"/>
    <w:unhideWhenUsed/>
    <w:rsid w:val="00AE3B02"/>
    <w:rPr>
      <w:color w:val="0000FF" w:themeColor="hyperlink"/>
      <w:u w:val="single"/>
    </w:rPr>
  </w:style>
  <w:style w:type="paragraph" w:styleId="Caption">
    <w:name w:val="caption"/>
    <w:basedOn w:val="Normal"/>
    <w:next w:val="Normal"/>
    <w:uiPriority w:val="35"/>
    <w:unhideWhenUsed/>
    <w:qFormat/>
    <w:rsid w:val="004E55B7"/>
    <w:pPr>
      <w:spacing w:after="200" w:line="240" w:lineRule="auto"/>
    </w:pPr>
    <w:rPr>
      <w:b/>
      <w:bCs/>
      <w:color w:val="4F81BD" w:themeColor="accent1"/>
      <w:sz w:val="18"/>
      <w:szCs w:val="18"/>
    </w:rPr>
  </w:style>
  <w:style w:type="character" w:styleId="Emphasis">
    <w:name w:val="Emphasis"/>
    <w:basedOn w:val="DefaultParagraphFont"/>
    <w:uiPriority w:val="20"/>
    <w:qFormat/>
    <w:rsid w:val="007E1CE7"/>
    <w:rPr>
      <w:i/>
      <w:iCs/>
    </w:rPr>
  </w:style>
  <w:style w:type="character" w:styleId="FollowedHyperlink">
    <w:name w:val="FollowedHyperlink"/>
    <w:basedOn w:val="DefaultParagraphFont"/>
    <w:uiPriority w:val="99"/>
    <w:semiHidden/>
    <w:unhideWhenUsed/>
    <w:rsid w:val="007E1CE7"/>
    <w:rPr>
      <w:color w:val="800080" w:themeColor="followedHyperlink"/>
      <w:u w:val="single"/>
    </w:rPr>
  </w:style>
  <w:style w:type="character" w:styleId="PageNumber">
    <w:name w:val="page number"/>
    <w:basedOn w:val="DefaultParagraphFont"/>
    <w:uiPriority w:val="99"/>
    <w:semiHidden/>
    <w:unhideWhenUsed/>
    <w:rsid w:val="007E1CE7"/>
  </w:style>
  <w:style w:type="character" w:customStyle="1" w:styleId="Heading2Char">
    <w:name w:val="Heading 2 Char"/>
    <w:basedOn w:val="DefaultParagraphFont"/>
    <w:link w:val="Heading2"/>
    <w:uiPriority w:val="9"/>
    <w:semiHidden/>
    <w:rsid w:val="00155BC2"/>
    <w:rPr>
      <w:rFonts w:asciiTheme="majorHAnsi" w:eastAsiaTheme="majorEastAsia" w:hAnsiTheme="majorHAnsi" w:cstheme="majorBidi"/>
      <w:b/>
      <w:bCs/>
      <w:color w:val="4F81BD" w:themeColor="accent1"/>
      <w:sz w:val="26"/>
      <w:szCs w:val="26"/>
      <w:lang w:val="en-ZA" w:eastAsia="en-ZA"/>
    </w:rPr>
  </w:style>
  <w:style w:type="paragraph" w:styleId="FootnoteText">
    <w:name w:val="footnote text"/>
    <w:basedOn w:val="Normal"/>
    <w:link w:val="FootnoteTextChar"/>
    <w:uiPriority w:val="99"/>
    <w:semiHidden/>
    <w:unhideWhenUsed/>
    <w:rsid w:val="00155BC2"/>
    <w:pPr>
      <w:spacing w:line="240" w:lineRule="auto"/>
    </w:pPr>
    <w:rPr>
      <w:sz w:val="20"/>
    </w:rPr>
  </w:style>
  <w:style w:type="character" w:customStyle="1" w:styleId="FootnoteTextChar">
    <w:name w:val="Footnote Text Char"/>
    <w:basedOn w:val="DefaultParagraphFont"/>
    <w:link w:val="FootnoteText"/>
    <w:uiPriority w:val="99"/>
    <w:semiHidden/>
    <w:rsid w:val="00155BC2"/>
    <w:rPr>
      <w:rFonts w:ascii="Arial" w:eastAsia="Arial" w:hAnsi="Arial" w:cs="Arial"/>
      <w:color w:val="000000"/>
      <w:sz w:val="20"/>
      <w:szCs w:val="20"/>
      <w:lang w:val="en-ZA" w:eastAsia="en-ZA"/>
    </w:rPr>
  </w:style>
  <w:style w:type="character" w:styleId="FootnoteReference">
    <w:name w:val="footnote reference"/>
    <w:basedOn w:val="DefaultParagraphFont"/>
    <w:uiPriority w:val="99"/>
    <w:semiHidden/>
    <w:unhideWhenUsed/>
    <w:rsid w:val="00155BC2"/>
    <w:rPr>
      <w:vertAlign w:val="superscript"/>
    </w:rPr>
  </w:style>
  <w:style w:type="paragraph" w:customStyle="1" w:styleId="Style1">
    <w:name w:val="Style1"/>
    <w:basedOn w:val="Normal"/>
    <w:link w:val="Style1Char"/>
    <w:qFormat/>
    <w:rsid w:val="00155BC2"/>
    <w:pPr>
      <w:spacing w:line="360" w:lineRule="auto"/>
    </w:pPr>
    <w:rPr>
      <w:rFonts w:ascii="Trebuchet MS" w:eastAsia="Trebuchet MS" w:hAnsi="Trebuchet MS" w:cs="Trebuchet MS"/>
      <w:b/>
      <w:sz w:val="26"/>
    </w:rPr>
  </w:style>
  <w:style w:type="paragraph" w:customStyle="1" w:styleId="Normal1">
    <w:name w:val="Normal1"/>
    <w:basedOn w:val="Normal"/>
    <w:link w:val="normalChar"/>
    <w:qFormat/>
    <w:rsid w:val="00155BC2"/>
    <w:pPr>
      <w:spacing w:line="360" w:lineRule="auto"/>
    </w:pPr>
  </w:style>
  <w:style w:type="character" w:customStyle="1" w:styleId="Style1Char">
    <w:name w:val="Style1 Char"/>
    <w:basedOn w:val="DefaultParagraphFont"/>
    <w:link w:val="Style1"/>
    <w:rsid w:val="00155BC2"/>
    <w:rPr>
      <w:rFonts w:ascii="Trebuchet MS" w:eastAsia="Trebuchet MS" w:hAnsi="Trebuchet MS" w:cs="Trebuchet MS"/>
      <w:b/>
      <w:color w:val="000000"/>
      <w:sz w:val="26"/>
      <w:szCs w:val="20"/>
      <w:lang w:val="en-ZA" w:eastAsia="en-ZA"/>
    </w:rPr>
  </w:style>
  <w:style w:type="character" w:customStyle="1" w:styleId="normalChar">
    <w:name w:val="normal Char"/>
    <w:basedOn w:val="DefaultParagraphFont"/>
    <w:link w:val="Normal1"/>
    <w:rsid w:val="00155BC2"/>
    <w:rPr>
      <w:rFonts w:ascii="Arial" w:eastAsia="Arial" w:hAnsi="Arial" w:cs="Arial"/>
      <w:color w:val="000000"/>
      <w:sz w:val="22"/>
      <w:szCs w:val="20"/>
      <w:lang w:val="en-ZA" w:eastAsia="en-ZA"/>
    </w:rPr>
  </w:style>
  <w:style w:type="character" w:customStyle="1" w:styleId="Heading3Char">
    <w:name w:val="Heading 3 Char"/>
    <w:basedOn w:val="DefaultParagraphFont"/>
    <w:link w:val="Heading3"/>
    <w:uiPriority w:val="9"/>
    <w:semiHidden/>
    <w:rsid w:val="00155BC2"/>
    <w:rPr>
      <w:rFonts w:asciiTheme="majorHAnsi" w:eastAsiaTheme="majorEastAsia" w:hAnsiTheme="majorHAnsi" w:cstheme="majorBidi"/>
      <w:b/>
      <w:bCs/>
      <w:color w:val="4F81BD" w:themeColor="accent1"/>
      <w:sz w:val="22"/>
      <w:szCs w:val="20"/>
      <w:lang w:val="en-ZA" w:eastAsia="en-ZA"/>
    </w:rPr>
  </w:style>
  <w:style w:type="paragraph" w:styleId="ListParagraph">
    <w:name w:val="List Paragraph"/>
    <w:basedOn w:val="Normal"/>
    <w:uiPriority w:val="34"/>
    <w:qFormat/>
    <w:rsid w:val="00155BC2"/>
    <w:pPr>
      <w:ind w:left="720"/>
      <w:contextualSpacing/>
    </w:pPr>
  </w:style>
  <w:style w:type="character" w:customStyle="1" w:styleId="byline">
    <w:name w:val="byline"/>
    <w:basedOn w:val="DefaultParagraphFont"/>
    <w:rsid w:val="00155BC2"/>
  </w:style>
  <w:style w:type="table" w:styleId="ColorfulList">
    <w:name w:val="Colorful List"/>
    <w:basedOn w:val="TableNormal"/>
    <w:uiPriority w:val="72"/>
    <w:rsid w:val="00B91ED7"/>
    <w:rPr>
      <w:color w:val="000000" w:themeColor="text1"/>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73638774">
      <w:bodyDiv w:val="1"/>
      <w:marLeft w:val="0"/>
      <w:marRight w:val="0"/>
      <w:marTop w:val="0"/>
      <w:marBottom w:val="0"/>
      <w:divBdr>
        <w:top w:val="none" w:sz="0" w:space="0" w:color="auto"/>
        <w:left w:val="none" w:sz="0" w:space="0" w:color="auto"/>
        <w:bottom w:val="none" w:sz="0" w:space="0" w:color="auto"/>
        <w:right w:val="none" w:sz="0" w:space="0" w:color="auto"/>
      </w:divBdr>
    </w:div>
    <w:div w:id="1578516589">
      <w:bodyDiv w:val="1"/>
      <w:marLeft w:val="0"/>
      <w:marRight w:val="0"/>
      <w:marTop w:val="0"/>
      <w:marBottom w:val="0"/>
      <w:divBdr>
        <w:top w:val="none" w:sz="0" w:space="0" w:color="auto"/>
        <w:left w:val="none" w:sz="0" w:space="0" w:color="auto"/>
        <w:bottom w:val="none" w:sz="0" w:space="0" w:color="auto"/>
        <w:right w:val="none" w:sz="0" w:space="0" w:color="auto"/>
      </w:divBdr>
      <w:divsChild>
        <w:div w:id="287201018">
          <w:marLeft w:val="0"/>
          <w:marRight w:val="0"/>
          <w:marTop w:val="0"/>
          <w:marBottom w:val="0"/>
          <w:divBdr>
            <w:top w:val="none" w:sz="0" w:space="0" w:color="auto"/>
            <w:left w:val="none" w:sz="0" w:space="0" w:color="auto"/>
            <w:bottom w:val="none" w:sz="0" w:space="0" w:color="auto"/>
            <w:right w:val="none" w:sz="0" w:space="0" w:color="auto"/>
          </w:divBdr>
        </w:div>
      </w:divsChild>
    </w:div>
  </w:divs>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socialens.com/blog/wp-content/uploads/downloads/2012/01/SociaLens_Digital_Fluency_Sample1.pdf" TargetMode="External"/><Relationship Id="rId18" Type="http://schemas.openxmlformats.org/officeDocument/2006/relationships/hyperlink" Target="http://oro.open.ac.uk/34766/" TargetMode="External"/><Relationship Id="rId26" Type="http://schemas.openxmlformats.org/officeDocument/2006/relationships/hyperlink" Target="http://www.socialens.com/blog/wp-content/uploads/downloads/2012/01/SociaLens_Digital_Fluency_Sample1.pdf" TargetMode="External"/><Relationship Id="rId39" Type="http://schemas.openxmlformats.org/officeDocument/2006/relationships/hyperlink" Target="http://link.springer.com/chapter/10.1007/978-3-319-10482-9_4&#160;" TargetMode="External"/><Relationship Id="rId34" Type="http://schemas.openxmlformats.org/officeDocument/2006/relationships/header" Target="header1.xml"/><Relationship Id="rId42" Type="http://schemas.openxmlformats.org/officeDocument/2006/relationships/hyperlink" Target="http://ijedict.dec.uwi.edu/viewarticle.php?id=26&amp;layout=html" TargetMode="External"/><Relationship Id="rId47" Type="http://schemas.openxmlformats.org/officeDocument/2006/relationships/hyperlink" Target="http://www.academia.edu/2048726/The_Multimodal_Choices_Visual_Arts_Students_Made_In_Creating_Their_Online_Portfolios" TargetMode="External"/><Relationship Id="rId50" Type="http://schemas.openxmlformats.org/officeDocument/2006/relationships/hyperlink" Target="https://creativecommons.org/licenses/by/4.0/" TargetMode="External"/><Relationship Id="rId55" Type="http://schemas.openxmlformats.org/officeDocument/2006/relationships/hyperlink" Target="mailto:tabisa.mayisela@uct.ac.za" TargetMode="External"/><Relationship Id="rId7" Type="http://schemas.openxmlformats.org/officeDocument/2006/relationships/footnotes" Target="footnotes.xml"/><Relationship Id="rId12" Type="http://schemas.openxmlformats.org/officeDocument/2006/relationships/hyperlink" Target="http://www.researchinlearningtechnology.net/index.php/rlt/article/view/21453" TargetMode="External"/><Relationship Id="rId17" Type="http://schemas.openxmlformats.org/officeDocument/2006/relationships/hyperlink" Target="http://oro.open.ac.uk/34766/" TargetMode="External"/><Relationship Id="rId25" Type="http://schemas.openxmlformats.org/officeDocument/2006/relationships/hyperlink" Target="http://www.researchinlearningtechnology.net/index.php/rlt/article/view/21453" TargetMode="External"/><Relationship Id="rId33" Type="http://schemas.openxmlformats.org/officeDocument/2006/relationships/hyperlink" Target="http://www.routledge.com/books/details/9780415875431/" TargetMode="External"/><Relationship Id="rId38" Type="http://schemas.openxmlformats.org/officeDocument/2006/relationships/hyperlink" Target="http://lisagoldresearch.wordpress.com/2011/08/22/yet-another-study-shows-that-digital-natives-suck-atsearching/" TargetMode="External"/><Relationship Id="rId46" Type="http://schemas.openxmlformats.org/officeDocument/2006/relationships/hyperlink" Target="http://www.timmuslimited.co.uk/wp-content/uploads/docs/DigitalLiteracy3to16ReviewPartA.pdf" TargetMode="External"/><Relationship Id="rId59"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www.nmc.org/pdf/2014-nmc-horizon-report-he-EN.pdf" TargetMode="External"/><Relationship Id="rId20" Type="http://schemas.openxmlformats.org/officeDocument/2006/relationships/hyperlink" Target="http://www.routledge.com/books/details/9780415875431/" TargetMode="External"/><Relationship Id="rId29" Type="http://schemas.openxmlformats.org/officeDocument/2006/relationships/hyperlink" Target="http://www.nmc.org/pdf/2014-nmc-horizon-report-he-EN.pdf" TargetMode="External"/><Relationship Id="rId41" Type="http://schemas.openxmlformats.org/officeDocument/2006/relationships/hyperlink" Target="http://ejournals.library.ualberta.ca/index.php/langandlit/issue/view/1371" TargetMode="External"/><Relationship Id="rId54" Type="http://schemas.openxmlformats.org/officeDocument/2006/relationships/hyperlink" Target="mailto:cheryl.brown@uct.ac.za"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digitalliteraci.es/assets/sample.pdf" TargetMode="External"/><Relationship Id="rId24" Type="http://schemas.openxmlformats.org/officeDocument/2006/relationships/hyperlink" Target="http://digitalliteraci.es/assets/sample.pdf" TargetMode="External"/><Relationship Id="rId32" Type="http://schemas.openxmlformats.org/officeDocument/2006/relationships/hyperlink" Target="http://www.ncte.org/library/NCTEFiles/Resources/Positions/Framework_21stCent_Curr_Assessment.pdf" TargetMode="External"/><Relationship Id="rId37" Type="http://schemas.openxmlformats.org/officeDocument/2006/relationships/header" Target="header2.xml"/><Relationship Id="rId40" Type="http://schemas.openxmlformats.org/officeDocument/2006/relationships/hyperlink" Target="http://jiscdesignstudio.pbworks.com/w/page/40474566/JISC%20Digital%20Literacy%20Workshop%20materials" TargetMode="External"/><Relationship Id="rId45" Type="http://schemas.openxmlformats.org/officeDocument/2006/relationships/hyperlink" Target="http://onlinelibrary.wiley.com/doi/10.1111/j.1365-2729.2010.00371.x/pdf" TargetMode="External"/><Relationship Id="rId53" Type="http://schemas.openxmlformats.org/officeDocument/2006/relationships/hyperlink" Target="file:///C:\Users\USER\AppData\Local\Microsoft\Windows\Temporary%20Internet%20Files\Content.Outlook\8E34KZXU\creativecommons.org\licenses\by\4.0" TargetMode="External"/><Relationship Id="rId58"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www.slideshare.net/courosa/towards-digital-fluency" TargetMode="External"/><Relationship Id="rId23" Type="http://schemas.openxmlformats.org/officeDocument/2006/relationships/hyperlink" Target="http://open.uct.ac.za/handle/11427/7497" TargetMode="External"/><Relationship Id="rId28" Type="http://schemas.openxmlformats.org/officeDocument/2006/relationships/hyperlink" Target="http://www.slideshare.net/courosa/towards-digital-fluency" TargetMode="External"/><Relationship Id="rId36" Type="http://schemas.openxmlformats.org/officeDocument/2006/relationships/footer" Target="footer2.xml"/><Relationship Id="rId49" Type="http://schemas.openxmlformats.org/officeDocument/2006/relationships/hyperlink" Target="http://in3-working-paper-series.uoc.edu/index.php/elcrps/article/viewFile/1708/n5-wheeler" TargetMode="External"/><Relationship Id="rId57" Type="http://schemas.openxmlformats.org/officeDocument/2006/relationships/hyperlink" Target="mailto:cilt@uct.ac.za" TargetMode="External"/><Relationship Id="rId10" Type="http://schemas.openxmlformats.org/officeDocument/2006/relationships/hyperlink" Target="http://open.uct.ac.za/handle/11427/7497" TargetMode="External"/><Relationship Id="rId19" Type="http://schemas.openxmlformats.org/officeDocument/2006/relationships/hyperlink" Target="http://www.ncte.org/library/NCTEFiles/Resources/Positions/Framework_21stCent_Curr_Assessment.pdf" TargetMode="External"/><Relationship Id="rId31" Type="http://schemas.openxmlformats.org/officeDocument/2006/relationships/hyperlink" Target="http://oro.open.ac.uk/34766/" TargetMode="External"/><Relationship Id="rId44" Type="http://schemas.openxmlformats.org/officeDocument/2006/relationships/hyperlink" Target="http://onlinelibrary.wiley.com/doi/10.1111/j.1365-2729.2010.00371.x/pdf" TargetMode="External"/><Relationship Id="rId52" Type="http://schemas.openxmlformats.org/officeDocument/2006/relationships/image" Target="cid:image001.png@01D07144.C86C7410" TargetMode="External"/><Relationship Id="rId4" Type="http://schemas.microsoft.com/office/2007/relationships/stylesWithEffects" Target="stylesWithEffects.xml"/><Relationship Id="rId9" Type="http://schemas.openxmlformats.org/officeDocument/2006/relationships/image" Target="media/image1.jpg"/><Relationship Id="rId14" Type="http://schemas.openxmlformats.org/officeDocument/2006/relationships/hyperlink" Target="http://www.slideshare.net/courosa/towards-digital-fluency" TargetMode="External"/><Relationship Id="rId27" Type="http://schemas.openxmlformats.org/officeDocument/2006/relationships/hyperlink" Target="http://www.slideshare.net/courosa/towards-digital-fluency" TargetMode="External"/><Relationship Id="rId30" Type="http://schemas.openxmlformats.org/officeDocument/2006/relationships/hyperlink" Target="http://oro.open.ac.uk/34766/" TargetMode="External"/><Relationship Id="rId35" Type="http://schemas.openxmlformats.org/officeDocument/2006/relationships/footer" Target="footer1.xml"/><Relationship Id="rId43" Type="http://schemas.openxmlformats.org/officeDocument/2006/relationships/hyperlink" Target="http://oro.open.ac.uk/34778/" TargetMode="External"/><Relationship Id="rId48" Type="http://schemas.openxmlformats.org/officeDocument/2006/relationships/hyperlink" Target="http://www.slideshare.net/lyallsv/sa-student-social-media-report-2014" TargetMode="External"/><Relationship Id="rId56" Type="http://schemas.openxmlformats.org/officeDocument/2006/relationships/hyperlink" Target="http://www.cilt.uct.ac.za" TargetMode="External"/><Relationship Id="rId8" Type="http://schemas.openxmlformats.org/officeDocument/2006/relationships/endnotes" Target="endnotes.xml"/><Relationship Id="rId51" Type="http://schemas.openxmlformats.org/officeDocument/2006/relationships/image" Target="media/image3.png"/><Relationship Id="rId3" Type="http://schemas.openxmlformats.org/officeDocument/2006/relationships/styles" Target="styles.xml"/></Relationships>
</file>

<file path=word/_rels/footnotes.xml.rels><?xml version="1.0" encoding="UTF-8" standalone="yes"?>
<Relationships xmlns="http://schemas.openxmlformats.org/package/2006/relationships"><Relationship Id="rId3" Type="http://schemas.openxmlformats.org/officeDocument/2006/relationships/hyperlink" Target="http://www.sun.ac.za/english/Lists/news/DispForm.aspx?ID=1989" TargetMode="External"/><Relationship Id="rId2" Type="http://schemas.openxmlformats.org/officeDocument/2006/relationships/hyperlink" Target="http://www.sun.ac.za/english/Lists/news/DispForm.aspx?ID=1989" TargetMode="External"/><Relationship Id="rId1" Type="http://schemas.openxmlformats.org/officeDocument/2006/relationships/hyperlink" Target="http://www.sun.ac.za/english/Lists/news/DispForm.aspx?ID=1989" TargetMode="External"/><Relationship Id="rId4" Type="http://schemas.openxmlformats.org/officeDocument/2006/relationships/hyperlink" Target="http://www.wits.ac.za/students/3897/webct.htm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jpg"/></Relationships>
</file>

<file path=word/_rels/header2.xml.rels><?xml version="1.0" encoding="UTF-8" standalone="yes"?>
<Relationships xmlns="http://schemas.openxmlformats.org/package/2006/relationships"><Relationship Id="rId1" Type="http://schemas.openxmlformats.org/officeDocument/2006/relationships/image" Target="media/image2.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0934382-4397-4CAE-8879-6DD5FAA8167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Pages>
  <Words>2074</Words>
  <Characters>11826</Characters>
  <Application>Microsoft Office Word</Application>
  <DocSecurity>0</DocSecurity>
  <Lines>98</Lines>
  <Paragraphs>27</Paragraphs>
  <ScaleCrop>false</ScaleCrop>
  <Company>UCT</Company>
  <LinksUpToDate>false</LinksUpToDate>
  <CharactersWithSpaces>13873</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Rondine Carstens</dc:creator>
  <cp:lastModifiedBy>Windows User</cp:lastModifiedBy>
  <cp:revision>2</cp:revision>
  <dcterms:created xsi:type="dcterms:W3CDTF">2015-09-28T10:42:00Z</dcterms:created>
  <dcterms:modified xsi:type="dcterms:W3CDTF">2015-09-28T10:42:00Z</dcterms:modified>
</cp:coreProperties>
</file>