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DCABA0" w14:textId="156DC996" w:rsidR="00AE3B02" w:rsidRPr="00E66264" w:rsidRDefault="00155BC2" w:rsidP="00E66264">
      <w:pPr>
        <w:pStyle w:val="Heading1"/>
        <w:rPr>
          <w:rFonts w:ascii="Minion Pro" w:hAnsi="Minion Pro"/>
          <w:b/>
          <w:color w:val="76923C" w:themeColor="accent3" w:themeShade="BF"/>
          <w:sz w:val="52"/>
          <w:szCs w:val="52"/>
        </w:rPr>
      </w:pPr>
      <w:r w:rsidRPr="00E66264">
        <w:rPr>
          <w:rFonts w:ascii="Minion Pro" w:hAnsi="Minion Pro"/>
          <w:b/>
          <w:color w:val="76923C" w:themeColor="accent3" w:themeShade="BF"/>
          <w:sz w:val="52"/>
          <w:szCs w:val="52"/>
        </w:rPr>
        <w:t>MOOCs</w:t>
      </w:r>
    </w:p>
    <w:p w14:paraId="608BB303" w14:textId="6A5F738C" w:rsidR="00E66264" w:rsidRPr="00E66264" w:rsidRDefault="00E66264" w:rsidP="00E66264">
      <w:pPr>
        <w:pStyle w:val="Heading1"/>
        <w:rPr>
          <w:rFonts w:ascii="Minion Pro" w:hAnsi="Minion Pro"/>
          <w:b/>
          <w:i/>
          <w:color w:val="76923C" w:themeColor="accent3" w:themeShade="BF"/>
          <w:sz w:val="36"/>
          <w:szCs w:val="44"/>
        </w:rPr>
      </w:pPr>
      <w:r w:rsidRPr="00E66264">
        <w:rPr>
          <w:rFonts w:ascii="Minion Pro" w:hAnsi="Minion Pro"/>
          <w:b/>
          <w:i/>
          <w:color w:val="76923C" w:themeColor="accent3" w:themeShade="BF"/>
          <w:sz w:val="36"/>
          <w:szCs w:val="44"/>
        </w:rPr>
        <w:t>CILT POSITION PAPER</w:t>
      </w:r>
    </w:p>
    <w:p w14:paraId="53B0EB2C" w14:textId="77777777" w:rsidR="007E1CE7" w:rsidRPr="007E1CE7" w:rsidRDefault="007E1CE7" w:rsidP="007E1CE7"/>
    <w:p w14:paraId="7BD1A72D" w14:textId="540F2B9D" w:rsidR="00924067" w:rsidRPr="00E66264" w:rsidRDefault="00155BC2" w:rsidP="0062380A">
      <w:pPr>
        <w:rPr>
          <w:rFonts w:ascii="Palatino" w:hAnsi="Palatino"/>
          <w:b/>
          <w:sz w:val="28"/>
          <w:szCs w:val="28"/>
        </w:rPr>
      </w:pPr>
      <w:r w:rsidRPr="00155BC2">
        <w:rPr>
          <w:rFonts w:ascii="Palatino" w:hAnsi="Palatino"/>
          <w:b/>
          <w:sz w:val="28"/>
          <w:szCs w:val="28"/>
        </w:rPr>
        <w:t>Laura Czern</w:t>
      </w:r>
      <w:r w:rsidR="00476F20">
        <w:rPr>
          <w:rFonts w:ascii="Palatino" w:hAnsi="Palatino"/>
          <w:b/>
          <w:sz w:val="28"/>
          <w:szCs w:val="28"/>
        </w:rPr>
        <w:t>iewicz, Andrew Deacon, Mary-Ann</w:t>
      </w:r>
      <w:r w:rsidRPr="00155BC2">
        <w:rPr>
          <w:rFonts w:ascii="Palatino" w:hAnsi="Palatino"/>
          <w:b/>
          <w:sz w:val="28"/>
          <w:szCs w:val="28"/>
        </w:rPr>
        <w:t xml:space="preserve"> Fife, </w:t>
      </w:r>
      <w:r w:rsidR="00625D6A">
        <w:rPr>
          <w:rFonts w:ascii="Palatino" w:hAnsi="Palatino"/>
          <w:b/>
          <w:sz w:val="28"/>
          <w:szCs w:val="28"/>
        </w:rPr>
        <w:br/>
      </w:r>
      <w:r w:rsidRPr="00155BC2">
        <w:rPr>
          <w:rFonts w:ascii="Palatino" w:hAnsi="Palatino"/>
          <w:b/>
          <w:sz w:val="28"/>
          <w:szCs w:val="28"/>
        </w:rPr>
        <w:t>Janet Small and Sukaina Walji</w:t>
      </w:r>
      <w:bookmarkStart w:id="0" w:name="h.sutfnwyts7rq" w:colFirst="0" w:colLast="0"/>
      <w:bookmarkStart w:id="1" w:name="h.l0yp1y3kprm" w:colFirst="0" w:colLast="0"/>
      <w:bookmarkStart w:id="2" w:name="h.83cf6lbw5j7m" w:colFirst="0" w:colLast="0"/>
      <w:bookmarkEnd w:id="0"/>
      <w:bookmarkEnd w:id="1"/>
      <w:bookmarkEnd w:id="2"/>
    </w:p>
    <w:p w14:paraId="35075D56" w14:textId="77777777" w:rsidR="0062380A" w:rsidRDefault="00924067" w:rsidP="0062380A">
      <w:pPr>
        <w:rPr>
          <w:rFonts w:ascii="Eurostile" w:hAnsi="Eurostile"/>
          <w:b/>
          <w:color w:val="76923C" w:themeColor="accent3" w:themeShade="BF"/>
          <w:sz w:val="44"/>
          <w:szCs w:val="44"/>
        </w:rPr>
      </w:pPr>
      <w:r>
        <w:rPr>
          <w:rFonts w:ascii="Eurostile" w:hAnsi="Eurostile"/>
          <w:b/>
          <w:noProof/>
          <w:color w:val="76923C" w:themeColor="accent3" w:themeShade="BF"/>
          <w:sz w:val="44"/>
          <w:szCs w:val="44"/>
          <w:lang w:val="en-US" w:eastAsia="en-US"/>
        </w:rPr>
        <w:drawing>
          <wp:inline distT="0" distB="0" distL="0" distR="0" wp14:anchorId="746DB671" wp14:editId="2FFD02B1">
            <wp:extent cx="5600700" cy="298254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_MOOC_infographic_full_CATEGORIESwithoutGROUND.jpg"/>
                    <pic:cNvPicPr/>
                  </pic:nvPicPr>
                  <pic:blipFill rotWithShape="1">
                    <a:blip r:embed="rId9" cstate="print">
                      <a:extLst>
                        <a:ext uri="{28A0092B-C50C-407E-A947-70E740481C1C}">
                          <a14:useLocalDpi xmlns:a14="http://schemas.microsoft.com/office/drawing/2010/main"/>
                        </a:ext>
                      </a:extLst>
                    </a:blip>
                    <a:srcRect b="1778"/>
                    <a:stretch/>
                  </pic:blipFill>
                  <pic:spPr bwMode="auto">
                    <a:xfrm>
                      <a:off x="0" y="0"/>
                      <a:ext cx="5600700" cy="2982541"/>
                    </a:xfrm>
                    <a:prstGeom prst="rect">
                      <a:avLst/>
                    </a:prstGeom>
                    <a:ln>
                      <a:noFill/>
                    </a:ln>
                    <a:extLst>
                      <a:ext uri="{53640926-AAD7-44d8-BBD7-CCE9431645EC}">
                        <a14:shadowObscured xmlns:a14="http://schemas.microsoft.com/office/drawing/2010/main"/>
                      </a:ext>
                    </a:extLst>
                  </pic:spPr>
                </pic:pic>
              </a:graphicData>
            </a:graphic>
          </wp:inline>
        </w:drawing>
      </w:r>
    </w:p>
    <w:p w14:paraId="3BF11967" w14:textId="6C8CD973" w:rsidR="003B2FC4" w:rsidRDefault="00625D6A" w:rsidP="0062380A">
      <w:pPr>
        <w:rPr>
          <w:rFonts w:ascii="Eurostile" w:hAnsi="Eurostile"/>
          <w:b/>
          <w:color w:val="76923C" w:themeColor="accent3" w:themeShade="BF"/>
          <w:sz w:val="44"/>
          <w:szCs w:val="44"/>
        </w:rPr>
      </w:pPr>
      <w:r w:rsidRPr="007E1CE7">
        <w:rPr>
          <w:rFonts w:ascii="Minion Pro" w:hAnsi="Minion Pro"/>
          <w:noProof/>
          <w:szCs w:val="22"/>
          <w:lang w:val="en-US" w:eastAsia="en-US"/>
        </w:rPr>
        <mc:AlternateContent>
          <mc:Choice Requires="wps">
            <w:drawing>
              <wp:anchor distT="0" distB="0" distL="114300" distR="114300" simplePos="0" relativeHeight="251674624" behindDoc="0" locked="0" layoutInCell="1" allowOverlap="1" wp14:anchorId="185CFAAC" wp14:editId="42095F11">
                <wp:simplePos x="0" y="0"/>
                <wp:positionH relativeFrom="column">
                  <wp:posOffset>0</wp:posOffset>
                </wp:positionH>
                <wp:positionV relativeFrom="paragraph">
                  <wp:posOffset>52705</wp:posOffset>
                </wp:positionV>
                <wp:extent cx="4457700" cy="243840"/>
                <wp:effectExtent l="0" t="0" r="12700" b="10160"/>
                <wp:wrapThrough wrapText="bothSides">
                  <wp:wrapPolygon edited="0">
                    <wp:start x="0" y="0"/>
                    <wp:lineTo x="0" y="20250"/>
                    <wp:lineTo x="21538" y="20250"/>
                    <wp:lineTo x="21538"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4457700" cy="24384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4641774E" w14:textId="77777777" w:rsidR="00E66264" w:rsidRPr="00625D6A" w:rsidRDefault="00E66264" w:rsidP="007E1CE7">
                            <w:pPr>
                              <w:pStyle w:val="Caption"/>
                              <w:rPr>
                                <w:rFonts w:ascii="Eurostile" w:hAnsi="Eurostile"/>
                                <w:noProof/>
                                <w:color w:val="76923C" w:themeColor="accent3" w:themeShade="BF"/>
                                <w:szCs w:val="20"/>
                                <w:lang w:eastAsia="en-US"/>
                              </w:rPr>
                            </w:pPr>
                            <w:r>
                              <w:rPr>
                                <w:rStyle w:val="Emphasis"/>
                                <w:rFonts w:eastAsia="Times New Roman" w:cs="Times New Roman"/>
                                <w:color w:val="76923C" w:themeColor="accent3" w:themeShade="BF"/>
                                <w:sz w:val="16"/>
                              </w:rPr>
                              <w:t>The Course</w:t>
                            </w:r>
                            <w:r w:rsidRPr="00625D6A">
                              <w:rPr>
                                <w:rStyle w:val="Emphasis"/>
                                <w:rFonts w:eastAsia="Times New Roman" w:cs="Times New Roman"/>
                                <w:color w:val="76923C" w:themeColor="accent3" w:themeShade="BF"/>
                                <w:sz w:val="16"/>
                              </w:rPr>
                              <w:t xml:space="preserve"> Landscape in Higher Education  Image CC BY-SA by </w:t>
                            </w:r>
                            <w:hyperlink r:id="rId10" w:history="1">
                              <w:r w:rsidRPr="00625D6A">
                                <w:rPr>
                                  <w:rStyle w:val="Emphasis"/>
                                  <w:rFonts w:eastAsia="Times New Roman" w:cs="Times New Roman"/>
                                  <w:color w:val="76923C" w:themeColor="accent3" w:themeShade="BF"/>
                                  <w:sz w:val="16"/>
                                </w:rPr>
                                <w:t>Rondine Carstens</w:t>
                              </w:r>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0;margin-top:4.15pt;width:351pt;height:19.2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" stroked="f">
                <v:textbox style="mso-fit-shape-to-text:t" inset="0,0,0,0">
                  <w:txbxContent>
                    <w:p w14:paraId="4641774E" w14:textId="77777777" w:rsidR="00E66264" w:rsidRPr="00625D6A" w:rsidRDefault="00E66264" w:rsidP="007E1CE7">
                      <w:pPr>
                        <w:pStyle w:val="Caption"/>
                        <w:rPr>
                          <w:rFonts w:ascii="Eurostile" w:hAnsi="Eurostile"/>
                          <w:noProof/>
                          <w:color w:val="76923C" w:themeColor="accent3" w:themeShade="BF"/>
                          <w:szCs w:val="20"/>
                          <w:lang w:eastAsia="en-US"/>
                        </w:rPr>
                      </w:pPr>
                      <w:r>
                        <w:rPr>
                          <w:rStyle w:val="Emphasis"/>
                          <w:rFonts w:eastAsia="Times New Roman" w:cs="Times New Roman"/>
                          <w:color w:val="76923C" w:themeColor="accent3" w:themeShade="BF"/>
                          <w:sz w:val="16"/>
                        </w:rPr>
                        <w:t>The Course</w:t>
                      </w:r>
                      <w:r w:rsidRPr="00625D6A">
                        <w:rPr>
                          <w:rStyle w:val="Emphasis"/>
                          <w:rFonts w:eastAsia="Times New Roman" w:cs="Times New Roman"/>
                          <w:color w:val="76923C" w:themeColor="accent3" w:themeShade="BF"/>
                          <w:sz w:val="16"/>
                        </w:rPr>
                        <w:t xml:space="preserve"> Landscape in Higher Education  Image CC BY-SA by </w:t>
                      </w:r>
                      <w:hyperlink r:id="rId11" w:history="1">
                        <w:r w:rsidRPr="00625D6A">
                          <w:rPr>
                            <w:rStyle w:val="Emphasis"/>
                            <w:rFonts w:eastAsia="Times New Roman" w:cs="Times New Roman"/>
                            <w:color w:val="76923C" w:themeColor="accent3" w:themeShade="BF"/>
                            <w:sz w:val="16"/>
                          </w:rPr>
                          <w:t>Rondine Carstens</w:t>
                        </w:r>
                      </w:hyperlink>
                    </w:p>
                  </w:txbxContent>
                </v:textbox>
                <w10:wrap type="through"/>
              </v:shape>
            </w:pict>
          </mc:Fallback>
        </mc:AlternateContent>
      </w:r>
    </w:p>
    <w:p w14:paraId="2B686274" w14:textId="77777777" w:rsidR="0062380A" w:rsidRPr="00E66264" w:rsidRDefault="00155BC2" w:rsidP="0062380A">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Introduction to MOOCs: definition and characteristics</w:t>
      </w:r>
    </w:p>
    <w:p w14:paraId="35027293" w14:textId="727EF3FB" w:rsidR="003B2FC4" w:rsidRPr="00E97EDC" w:rsidRDefault="00155BC2" w:rsidP="00E97EDC">
      <w:pPr>
        <w:spacing w:line="360" w:lineRule="auto"/>
        <w:jc w:val="both"/>
      </w:pPr>
      <w:r w:rsidRPr="00155BC2">
        <w:rPr>
          <w:rFonts w:ascii="Minion Pro" w:hAnsi="Minion Pro"/>
          <w:szCs w:val="22"/>
        </w:rPr>
        <w:t>Massive open online courses (MOOCs) are a flexible and open form of self-directed, online learning designed for mass participation. There are no fees or entry requirements and no formal academic credit is available. While completion rates are low (on average ten per cent</w:t>
      </w:r>
      <w:r w:rsidR="003B2FC4">
        <w:rPr>
          <w:rFonts w:ascii="Minion Pro" w:hAnsi="Minion Pro"/>
          <w:szCs w:val="22"/>
          <w:vertAlign w:val="superscript"/>
        </w:rPr>
        <w:t>1</w:t>
      </w:r>
      <w:r w:rsidRPr="00155BC2">
        <w:rPr>
          <w:rFonts w:ascii="Minion Pro" w:hAnsi="Minion Pro"/>
          <w:szCs w:val="22"/>
        </w:rPr>
        <w:t>) due to varying motivations for enrolling in a MOOC, absolute numbers of participants who complete are usually high. While access to the course material is free, MOOC platform providers often offer certificates of completion at a cost. MOOC platforms provide institutions with cloud-based hosting environments for delivering courses, offering scale and functionality while the institution provides the course material and reputational value.</w:t>
      </w:r>
    </w:p>
    <w:p w14:paraId="39F22E3F" w14:textId="77777777" w:rsidR="00155BC2" w:rsidRDefault="00155BC2" w:rsidP="00A94492">
      <w:pPr>
        <w:pStyle w:val="Heading1"/>
        <w:spacing w:line="360" w:lineRule="auto"/>
        <w:contextualSpacing w:val="0"/>
        <w:jc w:val="both"/>
        <w:rPr>
          <w:rFonts w:ascii="Minion Pro" w:hAnsi="Minion Pro"/>
          <w:sz w:val="22"/>
          <w:szCs w:val="22"/>
        </w:rPr>
      </w:pPr>
      <w:r w:rsidRPr="00155BC2">
        <w:rPr>
          <w:rFonts w:ascii="Minion Pro" w:hAnsi="Minion Pro"/>
          <w:sz w:val="22"/>
          <w:szCs w:val="22"/>
        </w:rPr>
        <w:t>The major English-medium MOOC platform providers are Coursera, edX, Canvas and FutureLearn; and there is a multitude of smaller platforms. Each platform has its technical infrastructure and business model; for example, some platforms align themselves with institutions, whereas others allow individual educators more freedom.</w:t>
      </w:r>
    </w:p>
    <w:p w14:paraId="1AE4ED3F" w14:textId="77777777" w:rsidR="0062380A" w:rsidRDefault="0062380A" w:rsidP="00A94492">
      <w:pPr>
        <w:spacing w:line="360" w:lineRule="auto"/>
        <w:jc w:val="both"/>
        <w:rPr>
          <w:rFonts w:ascii="Minion Pro" w:hAnsi="Minion Pro"/>
        </w:rPr>
      </w:pPr>
    </w:p>
    <w:p w14:paraId="5B6E52DE" w14:textId="77777777" w:rsidR="00155BC2" w:rsidRPr="00B91ED7" w:rsidRDefault="00155BC2" w:rsidP="00A94492">
      <w:pPr>
        <w:spacing w:line="360" w:lineRule="auto"/>
        <w:jc w:val="both"/>
        <w:rPr>
          <w:rFonts w:ascii="Minion Pro" w:hAnsi="Minion Pro"/>
        </w:rPr>
      </w:pPr>
      <w:r w:rsidRPr="00B91ED7">
        <w:rPr>
          <w:rFonts w:ascii="Minion Pro" w:hAnsi="Minion Pro"/>
        </w:rPr>
        <w:lastRenderedPageBreak/>
        <w:t>The affordances of MOOC technology are as follows:</w:t>
      </w:r>
    </w:p>
    <w:p w14:paraId="326DE557" w14:textId="77777777" w:rsidR="00155BC2" w:rsidRPr="00B91ED7" w:rsidRDefault="00155BC2" w:rsidP="00A94492">
      <w:pPr>
        <w:numPr>
          <w:ilvl w:val="0"/>
          <w:numId w:val="2"/>
        </w:numPr>
        <w:spacing w:line="360" w:lineRule="auto"/>
        <w:ind w:hanging="359"/>
        <w:contextualSpacing/>
        <w:jc w:val="both"/>
        <w:rPr>
          <w:rFonts w:ascii="Minion Pro" w:hAnsi="Minion Pro"/>
        </w:rPr>
      </w:pPr>
      <w:r w:rsidRPr="00B91ED7">
        <w:rPr>
          <w:rFonts w:ascii="Minion Pro" w:hAnsi="Minion Pro"/>
        </w:rPr>
        <w:t>Educator involvement: While educators are involved in the design and production of the MOOC, their involvement during the running of the course is minimised because of the lack of formal assessment or formal academic credit.</w:t>
      </w:r>
    </w:p>
    <w:p w14:paraId="3D041A84" w14:textId="77777777" w:rsidR="00155BC2" w:rsidRPr="00B91ED7" w:rsidRDefault="00155BC2" w:rsidP="00A94492">
      <w:pPr>
        <w:numPr>
          <w:ilvl w:val="0"/>
          <w:numId w:val="2"/>
        </w:numPr>
        <w:spacing w:line="360" w:lineRule="auto"/>
        <w:ind w:hanging="359"/>
        <w:contextualSpacing/>
        <w:jc w:val="both"/>
        <w:rPr>
          <w:rFonts w:ascii="Minion Pro" w:hAnsi="Minion Pro"/>
        </w:rPr>
      </w:pPr>
      <w:r w:rsidRPr="00B91ED7">
        <w:rPr>
          <w:rFonts w:ascii="Minion Pro" w:hAnsi="Minion Pro"/>
        </w:rPr>
        <w:t>Engagement: It is possible to engage with a large number of students via discussion forums.</w:t>
      </w:r>
    </w:p>
    <w:p w14:paraId="617A009C" w14:textId="77777777" w:rsidR="00155BC2" w:rsidRPr="00B91ED7" w:rsidRDefault="00155BC2" w:rsidP="00A94492">
      <w:pPr>
        <w:numPr>
          <w:ilvl w:val="0"/>
          <w:numId w:val="1"/>
        </w:numPr>
        <w:spacing w:line="360" w:lineRule="auto"/>
        <w:ind w:hanging="359"/>
        <w:contextualSpacing/>
        <w:jc w:val="both"/>
        <w:rPr>
          <w:rFonts w:ascii="Minion Pro" w:hAnsi="Minion Pro"/>
        </w:rPr>
      </w:pPr>
      <w:r w:rsidRPr="00B91ED7">
        <w:rPr>
          <w:rFonts w:ascii="Minion Pro" w:hAnsi="Minion Pro"/>
        </w:rPr>
        <w:t>Re-watchable: Students are able to watch and re-watch lecture videos.</w:t>
      </w:r>
    </w:p>
    <w:p w14:paraId="20764587" w14:textId="77777777" w:rsidR="00155BC2" w:rsidRPr="00B91ED7" w:rsidRDefault="00155BC2" w:rsidP="00A94492">
      <w:pPr>
        <w:numPr>
          <w:ilvl w:val="0"/>
          <w:numId w:val="1"/>
        </w:numPr>
        <w:spacing w:line="360" w:lineRule="auto"/>
        <w:ind w:hanging="359"/>
        <w:contextualSpacing/>
        <w:jc w:val="both"/>
        <w:rPr>
          <w:rFonts w:ascii="Minion Pro" w:hAnsi="Minion Pro"/>
        </w:rPr>
      </w:pPr>
      <w:r w:rsidRPr="00B91ED7">
        <w:rPr>
          <w:rFonts w:ascii="Minion Pro" w:hAnsi="Minion Pro"/>
        </w:rPr>
        <w:t>Scale: MOOCs are designed to reach a large number of students.</w:t>
      </w:r>
    </w:p>
    <w:p w14:paraId="7456123F" w14:textId="77777777" w:rsidR="00155BC2" w:rsidRPr="00B91ED7" w:rsidRDefault="00155BC2" w:rsidP="00A94492">
      <w:pPr>
        <w:numPr>
          <w:ilvl w:val="0"/>
          <w:numId w:val="1"/>
        </w:numPr>
        <w:spacing w:line="360" w:lineRule="auto"/>
        <w:ind w:hanging="359"/>
        <w:contextualSpacing/>
        <w:jc w:val="both"/>
        <w:rPr>
          <w:rFonts w:ascii="Minion Pro" w:hAnsi="Minion Pro"/>
        </w:rPr>
      </w:pPr>
      <w:r w:rsidRPr="00B91ED7">
        <w:rPr>
          <w:rFonts w:ascii="Minion Pro" w:hAnsi="Minion Pro"/>
        </w:rPr>
        <w:t>Assessable: Most MOOCs include in-video, concept-check questions, with immediate feedback, as well as peer review.</w:t>
      </w:r>
    </w:p>
    <w:p w14:paraId="250702A9" w14:textId="77777777" w:rsidR="00924067" w:rsidRDefault="00155BC2" w:rsidP="00A94492">
      <w:pPr>
        <w:numPr>
          <w:ilvl w:val="0"/>
          <w:numId w:val="1"/>
        </w:numPr>
        <w:spacing w:line="360" w:lineRule="auto"/>
        <w:ind w:hanging="359"/>
        <w:contextualSpacing/>
        <w:jc w:val="both"/>
        <w:rPr>
          <w:rFonts w:ascii="Minion Pro" w:hAnsi="Minion Pro"/>
        </w:rPr>
      </w:pPr>
      <w:r w:rsidRPr="00B91ED7">
        <w:rPr>
          <w:rFonts w:ascii="Minion Pro" w:hAnsi="Minion Pro"/>
        </w:rPr>
        <w:t>Customised learning experience: Participants can learn at their own pace and choose which material they engage with.</w:t>
      </w:r>
    </w:p>
    <w:p w14:paraId="18FDC5F8" w14:textId="77777777" w:rsidR="003B2FC4" w:rsidRPr="003B2FC4" w:rsidRDefault="003B2FC4" w:rsidP="003B2FC4">
      <w:pPr>
        <w:spacing w:line="360" w:lineRule="auto"/>
        <w:ind w:left="720"/>
        <w:contextualSpacing/>
        <w:rPr>
          <w:rFonts w:ascii="Minion Pro" w:hAnsi="Minion Pro"/>
        </w:rPr>
      </w:pPr>
    </w:p>
    <w:p w14:paraId="5AA073E3" w14:textId="77777777" w:rsidR="00155BC2" w:rsidRPr="00B91ED7" w:rsidRDefault="00155BC2" w:rsidP="00E66264">
      <w:pPr>
        <w:rPr>
          <w:rFonts w:ascii="Minion Pro" w:hAnsi="Minion Pro"/>
        </w:rPr>
      </w:pPr>
      <w:r w:rsidRPr="00E66264">
        <w:rPr>
          <w:rFonts w:ascii="Minion Pro" w:hAnsi="Minion Pro"/>
          <w:b/>
          <w:color w:val="76923C" w:themeColor="accent3" w:themeShade="BF"/>
          <w:sz w:val="44"/>
          <w:szCs w:val="44"/>
        </w:rPr>
        <w:t>Trends</w:t>
      </w:r>
    </w:p>
    <w:p w14:paraId="5DE285BE" w14:textId="0B62D0E8" w:rsidR="00155BC2" w:rsidRDefault="00155BC2" w:rsidP="00E97EDC">
      <w:pPr>
        <w:pStyle w:val="Normal1"/>
        <w:jc w:val="both"/>
        <w:rPr>
          <w:rFonts w:ascii="Minion Pro" w:hAnsi="Minion Pro"/>
        </w:rPr>
      </w:pPr>
      <w:r w:rsidRPr="00B91ED7">
        <w:rPr>
          <w:rFonts w:ascii="Minion Pro" w:hAnsi="Minion Pro"/>
        </w:rPr>
        <w:t>While traditional online courses are not new, the success of the present format is a recent phenomenon. The first large open online course recognised as a MOOC was conceived by the University of Manitoba in 2008. Wide public interest in MOOCs followed later in 2011, with an open online course in artificial intelligence by Stanford University and Massachusetts Institute of Technology (MIT). This course attracted over 160 000 students from more than 190 countries. In 2015 Coursera was the largest platform provider, with a third of all MOOC courses on offer. MiriadaX became the first non-United States MOOC provider to cross 1 million registered users, tapping into the large Spanish-speaking market worldwide. The top three subject areas in 2013 and 2014 were in the Humanities, Computer Science and Programming, and Business and Management</w:t>
      </w:r>
      <w:r w:rsidR="003B2FC4" w:rsidRPr="003B2FC4">
        <w:rPr>
          <w:rFonts w:ascii="Minion Pro" w:hAnsi="Minion Pro"/>
          <w:vertAlign w:val="superscript"/>
        </w:rPr>
        <w:t>2</w:t>
      </w:r>
      <w:r w:rsidRPr="00B91ED7">
        <w:rPr>
          <w:rFonts w:ascii="Minion Pro" w:hAnsi="Minion Pro"/>
        </w:rPr>
        <w:t>. In 2014, the number of universities offering MOOCs doubled to 400 universities, resulting in the number of cumulative courses doubling to 2 400</w:t>
      </w:r>
      <w:r w:rsidR="00625D6A">
        <w:rPr>
          <w:rFonts w:ascii="Minion Pro" w:hAnsi="Minion Pro"/>
          <w:vertAlign w:val="superscript"/>
        </w:rPr>
        <w:t>3</w:t>
      </w:r>
      <w:r w:rsidRPr="00B91ED7">
        <w:rPr>
          <w:rFonts w:ascii="Minion Pro" w:hAnsi="Minion Pro"/>
        </w:rPr>
        <w:t>.</w:t>
      </w:r>
    </w:p>
    <w:p w14:paraId="5631B2D9" w14:textId="77777777" w:rsidR="003B2FC4" w:rsidRDefault="003B2FC4" w:rsidP="00B91ED7">
      <w:pPr>
        <w:pStyle w:val="Title"/>
        <w:spacing w:line="360" w:lineRule="auto"/>
        <w:contextualSpacing w:val="0"/>
        <w:rPr>
          <w:rFonts w:ascii="Eurostile" w:hAnsi="Eurostile"/>
          <w:b/>
          <w:color w:val="76923C" w:themeColor="accent3" w:themeShade="BF"/>
          <w:sz w:val="44"/>
          <w:szCs w:val="44"/>
        </w:rPr>
      </w:pPr>
    </w:p>
    <w:p w14:paraId="4BA70D17"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MOOCs in the broader higher education landscape</w:t>
      </w:r>
    </w:p>
    <w:p w14:paraId="62AE1886" w14:textId="77777777" w:rsidR="00924067" w:rsidRPr="00B91ED7" w:rsidRDefault="00155BC2" w:rsidP="00A94492">
      <w:pPr>
        <w:pStyle w:val="Normal1"/>
        <w:jc w:val="both"/>
        <w:rPr>
          <w:rFonts w:ascii="Minion Pro" w:hAnsi="Minion Pro"/>
        </w:rPr>
      </w:pPr>
      <w:r w:rsidRPr="00B91ED7">
        <w:rPr>
          <w:rFonts w:ascii="Minion Pro" w:hAnsi="Minion Pro"/>
        </w:rPr>
        <w:t>In the curriculum landscape MOOCs are located in the non-formal space. There are a number of interesting experiments taking place, with MOOCs in the semi-formal space and exploring new types of accreditation.</w:t>
      </w:r>
    </w:p>
    <w:p w14:paraId="4BEFBF78" w14:textId="77777777" w:rsidR="003B2FC4" w:rsidRDefault="003B2FC4" w:rsidP="003B2FC4">
      <w:pPr>
        <w:pStyle w:val="Style1"/>
        <w:keepNext/>
        <w:jc w:val="center"/>
        <w:rPr>
          <w:rFonts w:ascii="Minion Pro" w:hAnsi="Minion Pro"/>
          <w:b w:val="0"/>
        </w:rPr>
      </w:pPr>
      <w:r w:rsidRPr="007E1CE7">
        <w:rPr>
          <w:rFonts w:ascii="Minion Pro" w:hAnsi="Minion Pro"/>
          <w:noProof/>
          <w:szCs w:val="22"/>
          <w:lang w:val="en-US" w:eastAsia="en-US"/>
        </w:rPr>
        <mc:AlternateContent>
          <mc:Choice Requires="wps">
            <w:drawing>
              <wp:anchor distT="0" distB="0" distL="114300" distR="114300" simplePos="0" relativeHeight="251676672" behindDoc="0" locked="0" layoutInCell="1" allowOverlap="1" wp14:anchorId="7C90ED0F" wp14:editId="5EE34924">
                <wp:simplePos x="0" y="0"/>
                <wp:positionH relativeFrom="column">
                  <wp:posOffset>0</wp:posOffset>
                </wp:positionH>
                <wp:positionV relativeFrom="paragraph">
                  <wp:posOffset>3265170</wp:posOffset>
                </wp:positionV>
                <wp:extent cx="2286000" cy="121920"/>
                <wp:effectExtent l="0" t="0" r="0" b="5080"/>
                <wp:wrapThrough wrapText="bothSides">
                  <wp:wrapPolygon edited="0">
                    <wp:start x="0" y="0"/>
                    <wp:lineTo x="0" y="18000"/>
                    <wp:lineTo x="21360" y="18000"/>
                    <wp:lineTo x="21360" y="0"/>
                    <wp:lineTo x="0" y="0"/>
                  </wp:wrapPolygon>
                </wp:wrapThrough>
                <wp:docPr id="1" name="Text Box 1"/>
                <wp:cNvGraphicFramePr/>
                <a:graphic xmlns:a="http://schemas.openxmlformats.org/drawingml/2006/main">
                  <a:graphicData uri="http://schemas.microsoft.com/office/word/2010/wordprocessingShape">
                    <wps:wsp>
                      <wps:cNvSpPr txBox="1"/>
                      <wps:spPr>
                        <a:xfrm>
                          <a:off x="0" y="0"/>
                          <a:ext cx="2286000" cy="12192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0C685431" w14:textId="77777777" w:rsidR="00E66264" w:rsidRPr="007E1CE7" w:rsidRDefault="00E66264" w:rsidP="0062380A">
                            <w:pPr>
                              <w:pStyle w:val="Caption"/>
                              <w:rPr>
                                <w:rFonts w:ascii="Eurostile" w:hAnsi="Eurostile"/>
                                <w:noProof/>
                                <w:color w:val="76923C" w:themeColor="accent3" w:themeShade="BF"/>
                                <w:sz w:val="20"/>
                                <w:szCs w:val="20"/>
                                <w:lang w:eastAsia="en-US"/>
                              </w:rPr>
                            </w:pPr>
                            <w:r w:rsidRPr="007E1CE7">
                              <w:rPr>
                                <w:rFonts w:ascii="Eurostile" w:hAnsi="Eurostile"/>
                                <w:color w:val="76923C" w:themeColor="accent3" w:themeShade="BF"/>
                                <w:sz w:val="20"/>
                                <w:szCs w:val="20"/>
                              </w:rPr>
                              <w:t xml:space="preserve">Figure </w:t>
                            </w:r>
                            <w:r w:rsidRPr="007E1CE7">
                              <w:rPr>
                                <w:rFonts w:ascii="Eurostile" w:hAnsi="Eurostile"/>
                                <w:color w:val="76923C" w:themeColor="accent3" w:themeShade="BF"/>
                                <w:sz w:val="20"/>
                                <w:szCs w:val="20"/>
                              </w:rPr>
                              <w:fldChar w:fldCharType="begin"/>
                            </w:r>
                            <w:r w:rsidRPr="007E1CE7">
                              <w:rPr>
                                <w:rFonts w:ascii="Eurostile" w:hAnsi="Eurostile"/>
                                <w:color w:val="76923C" w:themeColor="accent3" w:themeShade="BF"/>
                                <w:sz w:val="20"/>
                                <w:szCs w:val="20"/>
                              </w:rPr>
                              <w:instrText xml:space="preserve"> SEQ Figure \* ARABIC </w:instrText>
                            </w:r>
                            <w:r w:rsidRPr="007E1CE7">
                              <w:rPr>
                                <w:rFonts w:ascii="Eurostile" w:hAnsi="Eurostile"/>
                                <w:color w:val="76923C" w:themeColor="accent3" w:themeShade="BF"/>
                                <w:sz w:val="20"/>
                                <w:szCs w:val="20"/>
                              </w:rPr>
                              <w:fldChar w:fldCharType="separate"/>
                            </w:r>
                            <w:r w:rsidRPr="007E1CE7">
                              <w:rPr>
                                <w:rFonts w:ascii="Eurostile" w:hAnsi="Eurostile"/>
                                <w:noProof/>
                                <w:color w:val="76923C" w:themeColor="accent3" w:themeShade="BF"/>
                                <w:sz w:val="20"/>
                                <w:szCs w:val="20"/>
                              </w:rPr>
                              <w:t>1</w:t>
                            </w:r>
                            <w:r w:rsidRPr="007E1CE7">
                              <w:rPr>
                                <w:rFonts w:ascii="Eurostile" w:hAnsi="Eurostile"/>
                                <w:color w:val="76923C" w:themeColor="accent3" w:themeShade="BF"/>
                                <w:sz w:val="20"/>
                                <w:szCs w:val="20"/>
                              </w:rPr>
                              <w:fldChar w:fldCharType="end"/>
                            </w:r>
                            <w:r w:rsidRPr="007E1CE7">
                              <w:rPr>
                                <w:rFonts w:ascii="Eurostile" w:hAnsi="Eurostile"/>
                                <w:color w:val="76923C" w:themeColor="accent3" w:themeShade="BF"/>
                                <w:sz w:val="20"/>
                                <w:szCs w:val="20"/>
                              </w:rPr>
                              <w:t xml:space="preserve">: </w:t>
                            </w:r>
                            <w:r w:rsidRPr="0062380A">
                              <w:rPr>
                                <w:rFonts w:ascii="Eurostile" w:hAnsi="Eurostile"/>
                                <w:color w:val="76923C" w:themeColor="accent3" w:themeShade="BF"/>
                                <w:sz w:val="20"/>
                                <w:szCs w:val="20"/>
                              </w:rPr>
                              <w:t>The curriculum landscape</w:t>
                            </w:r>
                            <w:r w:rsidRPr="007E1CE7">
                              <w:rPr>
                                <w:rFonts w:ascii="Eurostile" w:hAnsi="Eurostile"/>
                                <w:color w:val="76923C" w:themeColor="accent3" w:themeShade="BF"/>
                                <w:sz w:val="20"/>
                                <w:szCs w:val="2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 o:spid="_x0000_s1027" type="#_x0000_t202" style="position:absolute;left:0;text-align:left;margin-left:0;margin-top:257.1pt;width:180pt;height:9.6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" stroked="f">
                <v:textbox inset="0,0,0,0">
                  <w:txbxContent>
                    <w:p w14:paraId="0C685431" w14:textId="77777777" w:rsidR="00E66264" w:rsidRPr="007E1CE7" w:rsidRDefault="00E66264" w:rsidP="0062380A">
                      <w:pPr>
                        <w:pStyle w:val="Caption"/>
                        <w:rPr>
                          <w:rFonts w:ascii="Eurostile" w:hAnsi="Eurostile"/>
                          <w:noProof/>
                          <w:color w:val="76923C" w:themeColor="accent3" w:themeShade="BF"/>
                          <w:sz w:val="20"/>
                          <w:szCs w:val="20"/>
                          <w:lang w:eastAsia="en-US"/>
                        </w:rPr>
                      </w:pPr>
                      <w:r w:rsidRPr="007E1CE7">
                        <w:rPr>
                          <w:rFonts w:ascii="Eurostile" w:hAnsi="Eurostile"/>
                          <w:color w:val="76923C" w:themeColor="accent3" w:themeShade="BF"/>
                          <w:sz w:val="20"/>
                          <w:szCs w:val="20"/>
                        </w:rPr>
                        <w:t xml:space="preserve">Figure </w:t>
                      </w:r>
                      <w:r w:rsidRPr="007E1CE7">
                        <w:rPr>
                          <w:rFonts w:ascii="Eurostile" w:hAnsi="Eurostile"/>
                          <w:color w:val="76923C" w:themeColor="accent3" w:themeShade="BF"/>
                          <w:sz w:val="20"/>
                          <w:szCs w:val="20"/>
                        </w:rPr>
                        <w:fldChar w:fldCharType="begin"/>
                      </w:r>
                      <w:r w:rsidRPr="007E1CE7">
                        <w:rPr>
                          <w:rFonts w:ascii="Eurostile" w:hAnsi="Eurostile"/>
                          <w:color w:val="76923C" w:themeColor="accent3" w:themeShade="BF"/>
                          <w:sz w:val="20"/>
                          <w:szCs w:val="20"/>
                        </w:rPr>
                        <w:instrText xml:space="preserve"> SEQ Figure \* ARABIC </w:instrText>
                      </w:r>
                      <w:r w:rsidRPr="007E1CE7">
                        <w:rPr>
                          <w:rFonts w:ascii="Eurostile" w:hAnsi="Eurostile"/>
                          <w:color w:val="76923C" w:themeColor="accent3" w:themeShade="BF"/>
                          <w:sz w:val="20"/>
                          <w:szCs w:val="20"/>
                        </w:rPr>
                        <w:fldChar w:fldCharType="separate"/>
                      </w:r>
                      <w:r w:rsidRPr="007E1CE7">
                        <w:rPr>
                          <w:rFonts w:ascii="Eurostile" w:hAnsi="Eurostile"/>
                          <w:noProof/>
                          <w:color w:val="76923C" w:themeColor="accent3" w:themeShade="BF"/>
                          <w:sz w:val="20"/>
                          <w:szCs w:val="20"/>
                        </w:rPr>
                        <w:t>1</w:t>
                      </w:r>
                      <w:r w:rsidRPr="007E1CE7">
                        <w:rPr>
                          <w:rFonts w:ascii="Eurostile" w:hAnsi="Eurostile"/>
                          <w:color w:val="76923C" w:themeColor="accent3" w:themeShade="BF"/>
                          <w:sz w:val="20"/>
                          <w:szCs w:val="20"/>
                        </w:rPr>
                        <w:fldChar w:fldCharType="end"/>
                      </w:r>
                      <w:r w:rsidRPr="007E1CE7">
                        <w:rPr>
                          <w:rFonts w:ascii="Eurostile" w:hAnsi="Eurostile"/>
                          <w:color w:val="76923C" w:themeColor="accent3" w:themeShade="BF"/>
                          <w:sz w:val="20"/>
                          <w:szCs w:val="20"/>
                        </w:rPr>
                        <w:t xml:space="preserve">: </w:t>
                      </w:r>
                      <w:r w:rsidRPr="0062380A">
                        <w:rPr>
                          <w:rFonts w:ascii="Eurostile" w:hAnsi="Eurostile"/>
                          <w:color w:val="76923C" w:themeColor="accent3" w:themeShade="BF"/>
                          <w:sz w:val="20"/>
                          <w:szCs w:val="20"/>
                        </w:rPr>
                        <w:t>The curriculum landscape</w:t>
                      </w:r>
                      <w:r w:rsidRPr="007E1CE7">
                        <w:rPr>
                          <w:rFonts w:ascii="Eurostile" w:hAnsi="Eurostile"/>
                          <w:color w:val="76923C" w:themeColor="accent3" w:themeShade="BF"/>
                          <w:sz w:val="20"/>
                          <w:szCs w:val="20"/>
                        </w:rPr>
                        <w:t xml:space="preserve"> </w:t>
                      </w:r>
                    </w:p>
                  </w:txbxContent>
                </v:textbox>
                <w10:wrap type="through"/>
              </v:shape>
            </w:pict>
          </mc:Fallback>
        </mc:AlternateContent>
      </w:r>
      <w:r w:rsidR="00155BC2" w:rsidRPr="00B91ED7">
        <w:rPr>
          <w:rFonts w:ascii="Minion Pro" w:hAnsi="Minion Pro"/>
          <w:b w:val="0"/>
          <w:noProof/>
          <w:lang w:val="en-US" w:eastAsia="en-US"/>
        </w:rPr>
        <w:drawing>
          <wp:inline distT="0" distB="0" distL="0" distR="0" wp14:anchorId="5079CB1C" wp14:editId="47E6FEB4">
            <wp:extent cx="5483825" cy="2972163"/>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83825" cy="2972163"/>
                    </a:xfrm>
                    <a:prstGeom prst="rect">
                      <a:avLst/>
                    </a:prstGeom>
                  </pic:spPr>
                </pic:pic>
              </a:graphicData>
            </a:graphic>
          </wp:inline>
        </w:drawing>
      </w:r>
    </w:p>
    <w:p w14:paraId="479142EC" w14:textId="77777777" w:rsidR="003B2FC4" w:rsidRPr="003B2FC4" w:rsidRDefault="003B2FC4" w:rsidP="003B2FC4">
      <w:pPr>
        <w:pStyle w:val="Style1"/>
        <w:keepNext/>
        <w:jc w:val="center"/>
        <w:rPr>
          <w:rFonts w:ascii="Minion Pro" w:hAnsi="Minion Pro"/>
          <w:b w:val="0"/>
        </w:rPr>
      </w:pPr>
    </w:p>
    <w:p w14:paraId="2AC139E4" w14:textId="77777777" w:rsidR="00155BC2" w:rsidRPr="00B91ED7" w:rsidRDefault="00155BC2" w:rsidP="00155BC2">
      <w:pPr>
        <w:pStyle w:val="Normal1"/>
        <w:rPr>
          <w:rFonts w:ascii="Minion Pro" w:hAnsi="Minion Pro"/>
        </w:rPr>
      </w:pPr>
      <w:r w:rsidRPr="00B91ED7">
        <w:rPr>
          <w:rFonts w:ascii="Minion Pro" w:hAnsi="Minion Pro"/>
        </w:rPr>
        <w:t>While MOOCs are a form of online course, they differ in several ways, as explained in Table 1.</w:t>
      </w:r>
    </w:p>
    <w:p w14:paraId="51D6B7B8" w14:textId="77777777" w:rsidR="003B2FC4" w:rsidRDefault="003B2FC4" w:rsidP="00155BC2">
      <w:pPr>
        <w:keepNext/>
        <w:spacing w:line="360" w:lineRule="auto"/>
        <w:rPr>
          <w:rFonts w:ascii="Minion Pro" w:hAnsi="Minion Pro"/>
          <w:b/>
          <w:i/>
          <w:szCs w:val="22"/>
        </w:rPr>
      </w:pPr>
    </w:p>
    <w:p w14:paraId="3552EA28" w14:textId="77777777" w:rsidR="00155BC2" w:rsidRPr="0062380A" w:rsidRDefault="00155BC2" w:rsidP="00155BC2">
      <w:pPr>
        <w:keepNext/>
        <w:spacing w:line="360" w:lineRule="auto"/>
        <w:rPr>
          <w:rFonts w:ascii="Minion Pro" w:hAnsi="Minion Pro"/>
          <w:b/>
          <w:i/>
          <w:szCs w:val="22"/>
        </w:rPr>
      </w:pPr>
      <w:r w:rsidRPr="0062380A">
        <w:rPr>
          <w:rFonts w:ascii="Minion Pro" w:hAnsi="Minion Pro"/>
          <w:b/>
          <w:i/>
          <w:szCs w:val="22"/>
        </w:rPr>
        <w:t>Table 1: Differences between formal online courses and MOOCs</w:t>
      </w:r>
    </w:p>
    <w:tbl>
      <w:tblPr>
        <w:tblStyle w:val="MediumGrid3"/>
        <w:tblW w:w="8922" w:type="dxa"/>
        <w:tblLayout w:type="fixed"/>
        <w:tblLook w:val="0600" w:firstRow="0" w:lastRow="0" w:firstColumn="0" w:lastColumn="0" w:noHBand="1" w:noVBand="1"/>
      </w:tblPr>
      <w:tblGrid>
        <w:gridCol w:w="2746"/>
        <w:gridCol w:w="3074"/>
        <w:gridCol w:w="3102"/>
      </w:tblGrid>
      <w:tr w:rsidR="0062380A" w:rsidRPr="00B91ED7" w14:paraId="1456A0C0" w14:textId="77777777" w:rsidTr="00E97EDC">
        <w:trPr>
          <w:trHeight w:val="355"/>
        </w:trPr>
        <w:tc>
          <w:tcPr>
            <w:tcW w:w="2746" w:type="dxa"/>
            <w:tcBorders>
              <w:top w:val="single" w:sz="4" w:space="0" w:color="auto"/>
              <w:bottom w:val="single" w:sz="4" w:space="0" w:color="auto"/>
            </w:tcBorders>
            <w:shd w:val="clear" w:color="auto" w:fill="auto"/>
          </w:tcPr>
          <w:p w14:paraId="48EDD1FA" w14:textId="77777777" w:rsidR="00155BC2" w:rsidRPr="00B91ED7" w:rsidRDefault="00155BC2" w:rsidP="00155BC2">
            <w:pPr>
              <w:keepNext/>
              <w:widowControl w:val="0"/>
              <w:spacing w:line="240" w:lineRule="auto"/>
              <w:rPr>
                <w:rFonts w:ascii="Minion Pro" w:hAnsi="Minion Pro"/>
                <w:sz w:val="18"/>
                <w:szCs w:val="18"/>
              </w:rPr>
            </w:pPr>
          </w:p>
        </w:tc>
        <w:tc>
          <w:tcPr>
            <w:tcW w:w="3074" w:type="dxa"/>
            <w:tcBorders>
              <w:top w:val="single" w:sz="4" w:space="0" w:color="auto"/>
              <w:bottom w:val="single" w:sz="4" w:space="0" w:color="auto"/>
            </w:tcBorders>
            <w:shd w:val="clear" w:color="auto" w:fill="auto"/>
          </w:tcPr>
          <w:p w14:paraId="669D4EAB" w14:textId="77777777" w:rsidR="00155BC2" w:rsidRPr="0062380A" w:rsidRDefault="00155BC2" w:rsidP="00155BC2">
            <w:pPr>
              <w:keepNext/>
              <w:widowControl w:val="0"/>
              <w:spacing w:line="240" w:lineRule="auto"/>
              <w:rPr>
                <w:rFonts w:ascii="Minion Pro" w:hAnsi="Minion Pro"/>
                <w:b/>
                <w:i/>
              </w:rPr>
            </w:pPr>
            <w:r w:rsidRPr="0062380A">
              <w:rPr>
                <w:rFonts w:ascii="Minion Pro" w:hAnsi="Minion Pro"/>
                <w:b/>
                <w:i/>
              </w:rPr>
              <w:t>Online courses</w:t>
            </w:r>
          </w:p>
        </w:tc>
        <w:tc>
          <w:tcPr>
            <w:tcW w:w="3102" w:type="dxa"/>
            <w:tcBorders>
              <w:top w:val="single" w:sz="4" w:space="0" w:color="auto"/>
              <w:bottom w:val="single" w:sz="4" w:space="0" w:color="auto"/>
            </w:tcBorders>
            <w:shd w:val="clear" w:color="auto" w:fill="auto"/>
          </w:tcPr>
          <w:p w14:paraId="3BDFD0B6" w14:textId="77777777" w:rsidR="00155BC2" w:rsidRPr="0062380A" w:rsidRDefault="00155BC2" w:rsidP="00155BC2">
            <w:pPr>
              <w:keepNext/>
              <w:widowControl w:val="0"/>
              <w:spacing w:line="240" w:lineRule="auto"/>
              <w:rPr>
                <w:rFonts w:ascii="Minion Pro" w:hAnsi="Minion Pro"/>
                <w:b/>
                <w:i/>
              </w:rPr>
            </w:pPr>
            <w:r w:rsidRPr="0062380A">
              <w:rPr>
                <w:rFonts w:ascii="Minion Pro" w:hAnsi="Minion Pro"/>
                <w:b/>
                <w:i/>
              </w:rPr>
              <w:t>MOOCs</w:t>
            </w:r>
          </w:p>
        </w:tc>
      </w:tr>
      <w:tr w:rsidR="0062380A" w:rsidRPr="00B91ED7" w14:paraId="4B7AC0E3" w14:textId="77777777" w:rsidTr="00E97EDC">
        <w:trPr>
          <w:trHeight w:val="590"/>
        </w:trPr>
        <w:tc>
          <w:tcPr>
            <w:tcW w:w="2746" w:type="dxa"/>
            <w:tcBorders>
              <w:top w:val="single" w:sz="4" w:space="0" w:color="auto"/>
            </w:tcBorders>
            <w:shd w:val="clear" w:color="auto" w:fill="D9D9D9" w:themeFill="background1" w:themeFillShade="D9"/>
          </w:tcPr>
          <w:p w14:paraId="5A6195ED"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Cost to user</w:t>
            </w:r>
          </w:p>
        </w:tc>
        <w:tc>
          <w:tcPr>
            <w:tcW w:w="3074" w:type="dxa"/>
            <w:tcBorders>
              <w:top w:val="single" w:sz="4" w:space="0" w:color="auto"/>
            </w:tcBorders>
            <w:shd w:val="clear" w:color="auto" w:fill="D9D9D9" w:themeFill="background1" w:themeFillShade="D9"/>
          </w:tcPr>
          <w:p w14:paraId="6CC19D6E"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Fees</w:t>
            </w:r>
          </w:p>
        </w:tc>
        <w:tc>
          <w:tcPr>
            <w:tcW w:w="3102" w:type="dxa"/>
            <w:tcBorders>
              <w:top w:val="single" w:sz="4" w:space="0" w:color="auto"/>
            </w:tcBorders>
            <w:shd w:val="clear" w:color="auto" w:fill="D9D9D9" w:themeFill="background1" w:themeFillShade="D9"/>
          </w:tcPr>
          <w:p w14:paraId="5AC17A39"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No fees; possibly certificates and/or support</w:t>
            </w:r>
          </w:p>
        </w:tc>
      </w:tr>
      <w:tr w:rsidR="0062380A" w:rsidRPr="00B91ED7" w14:paraId="6929C3EA" w14:textId="77777777" w:rsidTr="00E97EDC">
        <w:trPr>
          <w:trHeight w:val="280"/>
        </w:trPr>
        <w:tc>
          <w:tcPr>
            <w:tcW w:w="2746" w:type="dxa"/>
            <w:shd w:val="clear" w:color="auto" w:fill="F2F2F2" w:themeFill="background1" w:themeFillShade="F2"/>
          </w:tcPr>
          <w:p w14:paraId="3F4698AF"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 xml:space="preserve">Entrance requirements </w:t>
            </w:r>
          </w:p>
        </w:tc>
        <w:tc>
          <w:tcPr>
            <w:tcW w:w="3074" w:type="dxa"/>
            <w:shd w:val="clear" w:color="auto" w:fill="F2F2F2" w:themeFill="background1" w:themeFillShade="F2"/>
          </w:tcPr>
          <w:p w14:paraId="125C51B6"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Yes, as per conventional courses</w:t>
            </w:r>
          </w:p>
        </w:tc>
        <w:tc>
          <w:tcPr>
            <w:tcW w:w="3102" w:type="dxa"/>
            <w:shd w:val="clear" w:color="auto" w:fill="F2F2F2" w:themeFill="background1" w:themeFillShade="F2"/>
          </w:tcPr>
          <w:p w14:paraId="7AB76850"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None</w:t>
            </w:r>
          </w:p>
        </w:tc>
      </w:tr>
      <w:tr w:rsidR="0062380A" w:rsidRPr="00B91ED7" w14:paraId="0049F9C8" w14:textId="77777777" w:rsidTr="00E97EDC">
        <w:trPr>
          <w:trHeight w:val="590"/>
        </w:trPr>
        <w:tc>
          <w:tcPr>
            <w:tcW w:w="2746" w:type="dxa"/>
            <w:shd w:val="clear" w:color="auto" w:fill="D9D9D9" w:themeFill="background1" w:themeFillShade="D9"/>
          </w:tcPr>
          <w:p w14:paraId="024DD5C8"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Scale</w:t>
            </w:r>
          </w:p>
        </w:tc>
        <w:tc>
          <w:tcPr>
            <w:tcW w:w="3074" w:type="dxa"/>
            <w:shd w:val="clear" w:color="auto" w:fill="D9D9D9" w:themeFill="background1" w:themeFillShade="D9"/>
          </w:tcPr>
          <w:p w14:paraId="7F0F111A"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Limited. Capped by resources available for support and assessment</w:t>
            </w:r>
          </w:p>
        </w:tc>
        <w:tc>
          <w:tcPr>
            <w:tcW w:w="3102" w:type="dxa"/>
            <w:shd w:val="clear" w:color="auto" w:fill="D9D9D9" w:themeFill="background1" w:themeFillShade="D9"/>
          </w:tcPr>
          <w:p w14:paraId="000FFC2D"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Thousands. Savings due to limited lecturer support</w:t>
            </w:r>
          </w:p>
        </w:tc>
      </w:tr>
      <w:tr w:rsidR="0062380A" w:rsidRPr="00B91ED7" w14:paraId="2901EEA1" w14:textId="77777777" w:rsidTr="00E97EDC">
        <w:trPr>
          <w:trHeight w:val="590"/>
        </w:trPr>
        <w:tc>
          <w:tcPr>
            <w:tcW w:w="2746" w:type="dxa"/>
            <w:shd w:val="clear" w:color="auto" w:fill="F2F2F2" w:themeFill="background1" w:themeFillShade="F2"/>
          </w:tcPr>
          <w:p w14:paraId="3100204F"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Lecturer’s role</w:t>
            </w:r>
          </w:p>
        </w:tc>
        <w:tc>
          <w:tcPr>
            <w:tcW w:w="3074" w:type="dxa"/>
            <w:shd w:val="clear" w:color="auto" w:fill="F2F2F2" w:themeFill="background1" w:themeFillShade="F2"/>
          </w:tcPr>
          <w:p w14:paraId="6CE45619"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Responsible for curriculum alignment, quality assurance (QA) and support</w:t>
            </w:r>
          </w:p>
        </w:tc>
        <w:tc>
          <w:tcPr>
            <w:tcW w:w="3102" w:type="dxa"/>
            <w:shd w:val="clear" w:color="auto" w:fill="F2F2F2" w:themeFill="background1" w:themeFillShade="F2"/>
          </w:tcPr>
          <w:p w14:paraId="0EC7FB57"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Flexible role regarding the curriculum. Limited individual support</w:t>
            </w:r>
          </w:p>
        </w:tc>
      </w:tr>
      <w:tr w:rsidR="0062380A" w:rsidRPr="00B91ED7" w14:paraId="475F1963" w14:textId="77777777" w:rsidTr="00E97EDC">
        <w:trPr>
          <w:trHeight w:val="907"/>
        </w:trPr>
        <w:tc>
          <w:tcPr>
            <w:tcW w:w="2746" w:type="dxa"/>
            <w:shd w:val="clear" w:color="auto" w:fill="D9D9D9" w:themeFill="background1" w:themeFillShade="D9"/>
          </w:tcPr>
          <w:p w14:paraId="4A2C6EE7"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Copyright</w:t>
            </w:r>
          </w:p>
        </w:tc>
        <w:tc>
          <w:tcPr>
            <w:tcW w:w="3074" w:type="dxa"/>
            <w:shd w:val="clear" w:color="auto" w:fill="D9D9D9" w:themeFill="background1" w:themeFillShade="D9"/>
          </w:tcPr>
          <w:p w14:paraId="25A77AA6"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Largely proprietary. Some open</w:t>
            </w:r>
          </w:p>
        </w:tc>
        <w:tc>
          <w:tcPr>
            <w:tcW w:w="3102" w:type="dxa"/>
            <w:shd w:val="clear" w:color="auto" w:fill="D9D9D9" w:themeFill="background1" w:themeFillShade="D9"/>
          </w:tcPr>
          <w:p w14:paraId="2518E6E8"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Content may be proprietary or open. User-generated content often © MOOC provider</w:t>
            </w:r>
          </w:p>
        </w:tc>
      </w:tr>
      <w:tr w:rsidR="0062380A" w:rsidRPr="00B91ED7" w14:paraId="32157AE9" w14:textId="77777777" w:rsidTr="00E97EDC">
        <w:trPr>
          <w:trHeight w:val="907"/>
        </w:trPr>
        <w:tc>
          <w:tcPr>
            <w:tcW w:w="2746" w:type="dxa"/>
            <w:shd w:val="clear" w:color="auto" w:fill="F2F2F2" w:themeFill="background1" w:themeFillShade="F2"/>
          </w:tcPr>
          <w:p w14:paraId="265DD344"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Providers</w:t>
            </w:r>
          </w:p>
        </w:tc>
        <w:tc>
          <w:tcPr>
            <w:tcW w:w="3074" w:type="dxa"/>
            <w:shd w:val="clear" w:color="auto" w:fill="F2F2F2" w:themeFill="background1" w:themeFillShade="F2"/>
          </w:tcPr>
          <w:p w14:paraId="787EAB8B"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Distance education providers</w:t>
            </w:r>
          </w:p>
        </w:tc>
        <w:tc>
          <w:tcPr>
            <w:tcW w:w="3102" w:type="dxa"/>
            <w:shd w:val="clear" w:color="auto" w:fill="F2F2F2" w:themeFill="background1" w:themeFillShade="F2"/>
          </w:tcPr>
          <w:p w14:paraId="2E87FD84"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Traditional residential research universities partnered with private companies</w:t>
            </w:r>
          </w:p>
        </w:tc>
      </w:tr>
      <w:tr w:rsidR="0062380A" w:rsidRPr="00B91ED7" w14:paraId="7872D112" w14:textId="77777777" w:rsidTr="00E97EDC">
        <w:trPr>
          <w:trHeight w:val="280"/>
        </w:trPr>
        <w:tc>
          <w:tcPr>
            <w:tcW w:w="2746" w:type="dxa"/>
            <w:shd w:val="clear" w:color="auto" w:fill="D9D9D9" w:themeFill="background1" w:themeFillShade="D9"/>
          </w:tcPr>
          <w:p w14:paraId="7D18FAD5"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Analytics</w:t>
            </w:r>
          </w:p>
        </w:tc>
        <w:tc>
          <w:tcPr>
            <w:tcW w:w="3074" w:type="dxa"/>
            <w:shd w:val="clear" w:color="auto" w:fill="D9D9D9" w:themeFill="background1" w:themeFillShade="D9"/>
          </w:tcPr>
          <w:p w14:paraId="425BB471"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No, not usually</w:t>
            </w:r>
          </w:p>
        </w:tc>
        <w:tc>
          <w:tcPr>
            <w:tcW w:w="3102" w:type="dxa"/>
            <w:shd w:val="clear" w:color="auto" w:fill="D9D9D9" w:themeFill="background1" w:themeFillShade="D9"/>
          </w:tcPr>
          <w:p w14:paraId="53261EA7"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Yes, one of the promises</w:t>
            </w:r>
          </w:p>
        </w:tc>
      </w:tr>
      <w:tr w:rsidR="0062380A" w:rsidRPr="00B91ED7" w14:paraId="7A03B5BF" w14:textId="77777777" w:rsidTr="00E97EDC">
        <w:trPr>
          <w:trHeight w:val="319"/>
        </w:trPr>
        <w:tc>
          <w:tcPr>
            <w:tcW w:w="2746" w:type="dxa"/>
            <w:shd w:val="clear" w:color="auto" w:fill="F2F2F2" w:themeFill="background1" w:themeFillShade="F2"/>
          </w:tcPr>
          <w:p w14:paraId="67CB88A9"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Certification</w:t>
            </w:r>
          </w:p>
        </w:tc>
        <w:tc>
          <w:tcPr>
            <w:tcW w:w="3074" w:type="dxa"/>
            <w:shd w:val="clear" w:color="auto" w:fill="F2F2F2" w:themeFill="background1" w:themeFillShade="F2"/>
          </w:tcPr>
          <w:p w14:paraId="0646B59B"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Conventional</w:t>
            </w:r>
          </w:p>
        </w:tc>
        <w:tc>
          <w:tcPr>
            <w:tcW w:w="3102" w:type="dxa"/>
            <w:shd w:val="clear" w:color="auto" w:fill="F2F2F2" w:themeFill="background1" w:themeFillShade="F2"/>
          </w:tcPr>
          <w:p w14:paraId="61B1B899"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Non-conventional</w:t>
            </w:r>
          </w:p>
        </w:tc>
      </w:tr>
      <w:tr w:rsidR="0062380A" w:rsidRPr="00B91ED7" w14:paraId="2D2B7DB4" w14:textId="77777777" w:rsidTr="00E97EDC">
        <w:trPr>
          <w:trHeight w:val="635"/>
        </w:trPr>
        <w:tc>
          <w:tcPr>
            <w:tcW w:w="2746" w:type="dxa"/>
            <w:shd w:val="clear" w:color="auto" w:fill="D9D9D9" w:themeFill="background1" w:themeFillShade="D9"/>
          </w:tcPr>
          <w:p w14:paraId="7B605D5D"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Quality assurance</w:t>
            </w:r>
          </w:p>
        </w:tc>
        <w:tc>
          <w:tcPr>
            <w:tcW w:w="3074" w:type="dxa"/>
            <w:shd w:val="clear" w:color="auto" w:fill="D9D9D9" w:themeFill="background1" w:themeFillShade="D9"/>
          </w:tcPr>
          <w:p w14:paraId="3AEAB817"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Aligned with the usual formal courses QA processes</w:t>
            </w:r>
          </w:p>
        </w:tc>
        <w:tc>
          <w:tcPr>
            <w:tcW w:w="3102" w:type="dxa"/>
            <w:shd w:val="clear" w:color="auto" w:fill="D9D9D9" w:themeFill="background1" w:themeFillShade="D9"/>
          </w:tcPr>
          <w:p w14:paraId="59A51535" w14:textId="77777777" w:rsidR="00155BC2" w:rsidRPr="00B91ED7" w:rsidRDefault="00155BC2" w:rsidP="00155BC2">
            <w:pPr>
              <w:keepNext/>
              <w:widowControl w:val="0"/>
              <w:spacing w:line="240" w:lineRule="auto"/>
              <w:rPr>
                <w:rFonts w:ascii="Minion Pro" w:hAnsi="Minion Pro"/>
                <w:sz w:val="18"/>
                <w:szCs w:val="18"/>
              </w:rPr>
            </w:pPr>
            <w:r w:rsidRPr="00B91ED7">
              <w:rPr>
                <w:rFonts w:ascii="Minion Pro" w:hAnsi="Minion Pro"/>
                <w:sz w:val="18"/>
                <w:szCs w:val="18"/>
              </w:rPr>
              <w:t>As per non-formal offerings</w:t>
            </w:r>
          </w:p>
        </w:tc>
      </w:tr>
    </w:tbl>
    <w:p w14:paraId="788227FF" w14:textId="77777777" w:rsidR="00924067" w:rsidRDefault="00924067" w:rsidP="00B91ED7">
      <w:pPr>
        <w:pStyle w:val="Title"/>
        <w:spacing w:line="360" w:lineRule="auto"/>
        <w:contextualSpacing w:val="0"/>
        <w:rPr>
          <w:rFonts w:ascii="Eurostile" w:hAnsi="Eurostile"/>
          <w:b/>
          <w:color w:val="76923C" w:themeColor="accent3" w:themeShade="BF"/>
          <w:sz w:val="44"/>
          <w:szCs w:val="44"/>
        </w:rPr>
      </w:pPr>
    </w:p>
    <w:p w14:paraId="03C62CCA" w14:textId="77777777" w:rsidR="00E97EDC" w:rsidRDefault="00E97EDC" w:rsidP="00E97EDC"/>
    <w:p w14:paraId="64B0FC59" w14:textId="77777777" w:rsidR="00E97EDC" w:rsidRDefault="00E97EDC" w:rsidP="00E97EDC"/>
    <w:p w14:paraId="74CDE0A9" w14:textId="77777777" w:rsidR="00E97EDC" w:rsidRPr="00E97EDC" w:rsidRDefault="00E97EDC" w:rsidP="00E97EDC"/>
    <w:p w14:paraId="34455806"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Categories of MOOCs</w:t>
      </w:r>
    </w:p>
    <w:p w14:paraId="634EB7B8" w14:textId="77777777" w:rsidR="00155BC2" w:rsidRPr="00B91ED7" w:rsidRDefault="00155BC2" w:rsidP="00A94492">
      <w:pPr>
        <w:spacing w:line="360" w:lineRule="auto"/>
        <w:jc w:val="both"/>
        <w:rPr>
          <w:rFonts w:ascii="Minion Pro" w:hAnsi="Minion Pro"/>
        </w:rPr>
      </w:pPr>
      <w:r w:rsidRPr="00B91ED7">
        <w:rPr>
          <w:rFonts w:ascii="Minion Pro" w:hAnsi="Minion Pro"/>
        </w:rPr>
        <w:t>MOOCs can be differentiated in terms of the strategic goals that they aim to address. A primary distinction is between inward-facing courses (aimed at existing students) and outward-facing courses (aimed at participants with no connection to the university). A further distinction is made between the following categories, with categories 1 and 5 representing outward-facing and 2, 3 and 4 representing inward-facing courses:</w:t>
      </w:r>
    </w:p>
    <w:p w14:paraId="5DEAEA01" w14:textId="77777777" w:rsidR="00155BC2" w:rsidRPr="00B91ED7" w:rsidRDefault="00155BC2" w:rsidP="00A94492">
      <w:pPr>
        <w:numPr>
          <w:ilvl w:val="0"/>
          <w:numId w:val="4"/>
        </w:numPr>
        <w:spacing w:line="360" w:lineRule="auto"/>
        <w:ind w:hanging="359"/>
        <w:contextualSpacing/>
        <w:jc w:val="both"/>
        <w:rPr>
          <w:rFonts w:ascii="Minion Pro" w:hAnsi="Minion Pro"/>
        </w:rPr>
      </w:pPr>
      <w:r w:rsidRPr="00924067">
        <w:rPr>
          <w:rFonts w:ascii="Minion Pro" w:hAnsi="Minion Pro"/>
          <w:b/>
        </w:rPr>
        <w:t>Category 1</w:t>
      </w:r>
      <w:r w:rsidRPr="00B91ED7">
        <w:rPr>
          <w:rFonts w:ascii="Minion Pro" w:hAnsi="Minion Pro"/>
        </w:rPr>
        <w:t xml:space="preserve"> – Teaching showcase: General interest course in which an institution’s teaching is showcased, with the aim of raising the appeal or reputation of the institution.</w:t>
      </w:r>
    </w:p>
    <w:p w14:paraId="1820123D" w14:textId="77777777" w:rsidR="00155BC2" w:rsidRPr="00B91ED7" w:rsidRDefault="00155BC2" w:rsidP="00A94492">
      <w:pPr>
        <w:numPr>
          <w:ilvl w:val="0"/>
          <w:numId w:val="4"/>
        </w:numPr>
        <w:spacing w:line="360" w:lineRule="auto"/>
        <w:ind w:hanging="359"/>
        <w:contextualSpacing/>
        <w:jc w:val="both"/>
        <w:rPr>
          <w:rFonts w:ascii="Minion Pro" w:hAnsi="Minion Pro"/>
        </w:rPr>
      </w:pPr>
      <w:r w:rsidRPr="00924067">
        <w:rPr>
          <w:rFonts w:ascii="Minion Pro" w:hAnsi="Minion Pro"/>
          <w:b/>
        </w:rPr>
        <w:t>Category 2</w:t>
      </w:r>
      <w:r w:rsidRPr="00B91ED7">
        <w:rPr>
          <w:rFonts w:ascii="Minion Pro" w:hAnsi="Minion Pro"/>
        </w:rPr>
        <w:t xml:space="preserve"> – Gateway skills: Aimed at prospective undergraduate students, with the intention of preparing/upskilling prospective students for a particular area of study.</w:t>
      </w:r>
    </w:p>
    <w:p w14:paraId="21687AE4" w14:textId="77777777" w:rsidR="00155BC2" w:rsidRPr="00B91ED7" w:rsidRDefault="00155BC2" w:rsidP="00A94492">
      <w:pPr>
        <w:numPr>
          <w:ilvl w:val="0"/>
          <w:numId w:val="4"/>
        </w:numPr>
        <w:spacing w:line="360" w:lineRule="auto"/>
        <w:ind w:hanging="359"/>
        <w:contextualSpacing/>
        <w:jc w:val="both"/>
        <w:rPr>
          <w:rFonts w:ascii="Minion Pro" w:hAnsi="Minion Pro"/>
        </w:rPr>
      </w:pPr>
      <w:r w:rsidRPr="00924067">
        <w:rPr>
          <w:rFonts w:ascii="Minion Pro" w:hAnsi="Minion Pro"/>
          <w:b/>
        </w:rPr>
        <w:t>Category 3</w:t>
      </w:r>
      <w:r w:rsidRPr="00B91ED7">
        <w:rPr>
          <w:rFonts w:ascii="Minion Pro" w:hAnsi="Minion Pro"/>
        </w:rPr>
        <w:t xml:space="preserve"> – Graduate literacies: Provides students entering postgraduate level of study with opportunities to develop the necessary skills, such as proposal writing, research methods and statistical analysis.</w:t>
      </w:r>
    </w:p>
    <w:p w14:paraId="403F304E" w14:textId="77777777" w:rsidR="00155BC2" w:rsidRPr="00B91ED7" w:rsidRDefault="00155BC2" w:rsidP="00A94492">
      <w:pPr>
        <w:numPr>
          <w:ilvl w:val="0"/>
          <w:numId w:val="4"/>
        </w:numPr>
        <w:spacing w:line="360" w:lineRule="auto"/>
        <w:ind w:hanging="359"/>
        <w:contextualSpacing/>
        <w:jc w:val="both"/>
        <w:rPr>
          <w:rFonts w:ascii="Minion Pro" w:hAnsi="Minion Pro"/>
        </w:rPr>
      </w:pPr>
      <w:r w:rsidRPr="00924067">
        <w:rPr>
          <w:rFonts w:ascii="Minion Pro" w:hAnsi="Minion Pro"/>
          <w:b/>
        </w:rPr>
        <w:t>Category 4</w:t>
      </w:r>
      <w:r w:rsidRPr="00B91ED7">
        <w:rPr>
          <w:rFonts w:ascii="Minion Pro" w:hAnsi="Minion Pro"/>
        </w:rPr>
        <w:t xml:space="preserve"> – Professional showcase: Focuses on professional certification and professional development.</w:t>
      </w:r>
    </w:p>
    <w:p w14:paraId="532CF202" w14:textId="77777777" w:rsidR="00155BC2" w:rsidRPr="00B91ED7" w:rsidRDefault="00155BC2" w:rsidP="00A94492">
      <w:pPr>
        <w:numPr>
          <w:ilvl w:val="0"/>
          <w:numId w:val="4"/>
        </w:numPr>
        <w:spacing w:line="360" w:lineRule="auto"/>
        <w:ind w:hanging="359"/>
        <w:contextualSpacing/>
        <w:jc w:val="both"/>
        <w:rPr>
          <w:rFonts w:ascii="Minion Pro" w:hAnsi="Minion Pro"/>
        </w:rPr>
      </w:pPr>
      <w:r w:rsidRPr="00924067">
        <w:rPr>
          <w:rFonts w:ascii="Minion Pro" w:hAnsi="Minion Pro"/>
          <w:b/>
        </w:rPr>
        <w:t>Category 5</w:t>
      </w:r>
      <w:r w:rsidRPr="00B91ED7">
        <w:rPr>
          <w:rFonts w:ascii="Minion Pro" w:hAnsi="Minion Pro"/>
        </w:rPr>
        <w:t xml:space="preserve"> – Research showcase: Aimed at raising the appeal of the institution as a centre for research excellence.</w:t>
      </w:r>
    </w:p>
    <w:p w14:paraId="7E4D101D" w14:textId="77777777" w:rsidR="003B2FC4" w:rsidRDefault="003B2FC4" w:rsidP="00155BC2">
      <w:pPr>
        <w:spacing w:line="360" w:lineRule="auto"/>
        <w:jc w:val="center"/>
        <w:rPr>
          <w:rFonts w:ascii="Minion Pro" w:hAnsi="Minion Pro"/>
        </w:rPr>
      </w:pPr>
      <w:bookmarkStart w:id="3" w:name="h.vcl9zsigknny" w:colFirst="0" w:colLast="0"/>
      <w:bookmarkEnd w:id="3"/>
    </w:p>
    <w:p w14:paraId="6D701D1F" w14:textId="77777777" w:rsidR="00155BC2" w:rsidRPr="00B91ED7" w:rsidRDefault="00924067" w:rsidP="00155BC2">
      <w:pPr>
        <w:spacing w:line="360" w:lineRule="auto"/>
        <w:jc w:val="center"/>
        <w:rPr>
          <w:rFonts w:ascii="Minion Pro" w:hAnsi="Minion Pro"/>
        </w:rPr>
      </w:pPr>
      <w:r>
        <w:rPr>
          <w:rFonts w:ascii="Minion Pro" w:hAnsi="Minion Pro"/>
          <w:noProof/>
          <w:lang w:val="en-US" w:eastAsia="en-US"/>
        </w:rPr>
        <w:drawing>
          <wp:inline distT="0" distB="0" distL="0" distR="0" wp14:anchorId="08D094E5" wp14:editId="47A7BB14">
            <wp:extent cx="5647778" cy="3109323"/>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_MOOC_infographic_full_CATEGORIESonly.jpg"/>
                    <pic:cNvPicPr/>
                  </pic:nvPicPr>
                  <pic:blipFill rotWithShape="1">
                    <a:blip r:embed="rId13" cstate="print">
                      <a:extLst>
                        <a:ext uri="{28A0092B-C50C-407E-A947-70E740481C1C}">
                          <a14:useLocalDpi xmlns:a14="http://schemas.microsoft.com/office/drawing/2010/main"/>
                        </a:ext>
                      </a:extLst>
                    </a:blip>
                    <a:srcRect/>
                    <a:stretch/>
                  </pic:blipFill>
                  <pic:spPr bwMode="auto">
                    <a:xfrm>
                      <a:off x="0" y="0"/>
                      <a:ext cx="5648322" cy="3109622"/>
                    </a:xfrm>
                    <a:prstGeom prst="rect">
                      <a:avLst/>
                    </a:prstGeom>
                    <a:ln>
                      <a:noFill/>
                    </a:ln>
                    <a:extLst>
                      <a:ext uri="{53640926-AAD7-44d8-BBD7-CCE9431645EC}">
                        <a14:shadowObscured xmlns:a14="http://schemas.microsoft.com/office/drawing/2010/main"/>
                      </a:ext>
                    </a:extLst>
                  </pic:spPr>
                </pic:pic>
              </a:graphicData>
            </a:graphic>
          </wp:inline>
        </w:drawing>
      </w:r>
    </w:p>
    <w:p w14:paraId="011A2062" w14:textId="77777777" w:rsidR="00155BC2" w:rsidRPr="00B91ED7" w:rsidRDefault="00924067" w:rsidP="00155BC2">
      <w:pPr>
        <w:keepNext/>
        <w:spacing w:line="360" w:lineRule="auto"/>
        <w:jc w:val="center"/>
        <w:rPr>
          <w:rFonts w:ascii="Minion Pro" w:hAnsi="Minion Pro"/>
        </w:rPr>
      </w:pPr>
      <w:r w:rsidRPr="007E1CE7">
        <w:rPr>
          <w:rFonts w:ascii="Minion Pro" w:hAnsi="Minion Pro"/>
          <w:noProof/>
          <w:szCs w:val="22"/>
          <w:lang w:val="en-US" w:eastAsia="en-US"/>
        </w:rPr>
        <mc:AlternateContent>
          <mc:Choice Requires="wps">
            <w:drawing>
              <wp:anchor distT="0" distB="0" distL="114300" distR="114300" simplePos="0" relativeHeight="251678720" behindDoc="0" locked="0" layoutInCell="1" allowOverlap="1" wp14:anchorId="48C471D9" wp14:editId="33506A79">
                <wp:simplePos x="0" y="0"/>
                <wp:positionH relativeFrom="column">
                  <wp:posOffset>0</wp:posOffset>
                </wp:positionH>
                <wp:positionV relativeFrom="paragraph">
                  <wp:posOffset>-9525</wp:posOffset>
                </wp:positionV>
                <wp:extent cx="2286000" cy="254000"/>
                <wp:effectExtent l="0" t="0" r="0" b="0"/>
                <wp:wrapThrough wrapText="bothSides">
                  <wp:wrapPolygon edited="0">
                    <wp:start x="0" y="0"/>
                    <wp:lineTo x="0" y="19440"/>
                    <wp:lineTo x="21360" y="19440"/>
                    <wp:lineTo x="21360" y="0"/>
                    <wp:lineTo x="0" y="0"/>
                  </wp:wrapPolygon>
                </wp:wrapThrough>
                <wp:docPr id="18" name="Text Box 18"/>
                <wp:cNvGraphicFramePr/>
                <a:graphic xmlns:a="http://schemas.openxmlformats.org/drawingml/2006/main">
                  <a:graphicData uri="http://schemas.microsoft.com/office/word/2010/wordprocessingShape">
                    <wps:wsp>
                      <wps:cNvSpPr txBox="1"/>
                      <wps:spPr>
                        <a:xfrm>
                          <a:off x="0" y="0"/>
                          <a:ext cx="2286000" cy="2540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5FFD1289" w14:textId="77777777" w:rsidR="00E66264" w:rsidRPr="007E1CE7" w:rsidRDefault="00E66264" w:rsidP="00924067">
                            <w:pPr>
                              <w:pStyle w:val="Caption"/>
                              <w:rPr>
                                <w:rFonts w:ascii="Eurostile" w:hAnsi="Eurostile"/>
                                <w:noProof/>
                                <w:color w:val="76923C" w:themeColor="accent3" w:themeShade="BF"/>
                                <w:sz w:val="20"/>
                                <w:szCs w:val="20"/>
                                <w:lang w:eastAsia="en-US"/>
                              </w:rPr>
                            </w:pPr>
                            <w:r w:rsidRPr="007E1CE7">
                              <w:rPr>
                                <w:rFonts w:ascii="Eurostile" w:hAnsi="Eurostile"/>
                                <w:color w:val="76923C" w:themeColor="accent3" w:themeShade="BF"/>
                                <w:sz w:val="20"/>
                                <w:szCs w:val="20"/>
                              </w:rPr>
                              <w:t xml:space="preserve">Figure </w:t>
                            </w:r>
                            <w:r>
                              <w:rPr>
                                <w:rFonts w:ascii="Eurostile" w:hAnsi="Eurostile"/>
                                <w:color w:val="76923C" w:themeColor="accent3" w:themeShade="BF"/>
                                <w:sz w:val="20"/>
                                <w:szCs w:val="20"/>
                              </w:rPr>
                              <w:t>2</w:t>
                            </w:r>
                            <w:r w:rsidRPr="007E1CE7">
                              <w:rPr>
                                <w:rFonts w:ascii="Eurostile" w:hAnsi="Eurostile"/>
                                <w:color w:val="76923C" w:themeColor="accent3" w:themeShade="BF"/>
                                <w:sz w:val="20"/>
                                <w:szCs w:val="20"/>
                              </w:rPr>
                              <w:t xml:space="preserve">: </w:t>
                            </w:r>
                            <w:r w:rsidRPr="0062380A">
                              <w:rPr>
                                <w:rFonts w:ascii="Eurostile" w:hAnsi="Eurostile"/>
                                <w:color w:val="76923C" w:themeColor="accent3" w:themeShade="BF"/>
                                <w:sz w:val="20"/>
                                <w:szCs w:val="20"/>
                              </w:rPr>
                              <w:t>T</w:t>
                            </w:r>
                            <w:r>
                              <w:rPr>
                                <w:rFonts w:ascii="Eurostile" w:hAnsi="Eurostile"/>
                                <w:color w:val="76923C" w:themeColor="accent3" w:themeShade="BF"/>
                                <w:sz w:val="20"/>
                                <w:szCs w:val="20"/>
                              </w:rPr>
                              <w:t>ypes of MOOCs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8" o:spid="_x0000_s1028" type="#_x0000_t202" style="position:absolute;left:0;text-align:left;margin-left:0;margin-top:-.7pt;width:180pt;height:20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" stroked="f">
                <v:textbox style="mso-fit-shape-to-text:t" inset="0,0,0,0">
                  <w:txbxContent>
                    <w:p w14:paraId="5FFD1289" w14:textId="77777777" w:rsidR="00E66264" w:rsidRPr="007E1CE7" w:rsidRDefault="00E66264" w:rsidP="00924067">
                      <w:pPr>
                        <w:pStyle w:val="Caption"/>
                        <w:rPr>
                          <w:rFonts w:ascii="Eurostile" w:hAnsi="Eurostile"/>
                          <w:noProof/>
                          <w:color w:val="76923C" w:themeColor="accent3" w:themeShade="BF"/>
                          <w:sz w:val="20"/>
                          <w:szCs w:val="20"/>
                          <w:lang w:eastAsia="en-US"/>
                        </w:rPr>
                      </w:pPr>
                      <w:r w:rsidRPr="007E1CE7">
                        <w:rPr>
                          <w:rFonts w:ascii="Eurostile" w:hAnsi="Eurostile"/>
                          <w:color w:val="76923C" w:themeColor="accent3" w:themeShade="BF"/>
                          <w:sz w:val="20"/>
                          <w:szCs w:val="20"/>
                        </w:rPr>
                        <w:t xml:space="preserve">Figure </w:t>
                      </w:r>
                      <w:r>
                        <w:rPr>
                          <w:rFonts w:ascii="Eurostile" w:hAnsi="Eurostile"/>
                          <w:color w:val="76923C" w:themeColor="accent3" w:themeShade="BF"/>
                          <w:sz w:val="20"/>
                          <w:szCs w:val="20"/>
                        </w:rPr>
                        <w:t>2</w:t>
                      </w:r>
                      <w:r w:rsidRPr="007E1CE7">
                        <w:rPr>
                          <w:rFonts w:ascii="Eurostile" w:hAnsi="Eurostile"/>
                          <w:color w:val="76923C" w:themeColor="accent3" w:themeShade="BF"/>
                          <w:sz w:val="20"/>
                          <w:szCs w:val="20"/>
                        </w:rPr>
                        <w:t xml:space="preserve">: </w:t>
                      </w:r>
                      <w:r w:rsidRPr="0062380A">
                        <w:rPr>
                          <w:rFonts w:ascii="Eurostile" w:hAnsi="Eurostile"/>
                          <w:color w:val="76923C" w:themeColor="accent3" w:themeShade="BF"/>
                          <w:sz w:val="20"/>
                          <w:szCs w:val="20"/>
                        </w:rPr>
                        <w:t>T</w:t>
                      </w:r>
                      <w:r>
                        <w:rPr>
                          <w:rFonts w:ascii="Eurostile" w:hAnsi="Eurostile"/>
                          <w:color w:val="76923C" w:themeColor="accent3" w:themeShade="BF"/>
                          <w:sz w:val="20"/>
                          <w:szCs w:val="20"/>
                        </w:rPr>
                        <w:t>ypes of MOOCs</w:t>
                      </w:r>
                    </w:p>
                  </w:txbxContent>
                </v:textbox>
                <w10:wrap type="through"/>
              </v:shape>
            </w:pict>
          </mc:Fallback>
        </mc:AlternateContent>
      </w:r>
    </w:p>
    <w:p w14:paraId="6258F54A" w14:textId="77777777" w:rsidR="00924067" w:rsidRDefault="00924067" w:rsidP="00B91ED7">
      <w:pPr>
        <w:pStyle w:val="Title"/>
        <w:spacing w:line="360" w:lineRule="auto"/>
        <w:contextualSpacing w:val="0"/>
        <w:rPr>
          <w:rFonts w:ascii="Eurostile" w:hAnsi="Eurostile"/>
          <w:b/>
          <w:color w:val="76923C" w:themeColor="accent3" w:themeShade="BF"/>
          <w:sz w:val="32"/>
          <w:szCs w:val="32"/>
        </w:rPr>
      </w:pPr>
    </w:p>
    <w:p w14:paraId="08C0C137" w14:textId="77777777" w:rsidR="00E97EDC" w:rsidRDefault="00E97EDC" w:rsidP="00E97EDC"/>
    <w:p w14:paraId="65C11160" w14:textId="77777777" w:rsidR="00E97EDC" w:rsidRPr="00E97EDC" w:rsidRDefault="00E97EDC" w:rsidP="00E97EDC"/>
    <w:p w14:paraId="09C6FFBD"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Emergent forms of MOOC-type courses</w:t>
      </w:r>
    </w:p>
    <w:p w14:paraId="324DAB29" w14:textId="77777777" w:rsidR="00155BC2" w:rsidRPr="00B91ED7" w:rsidRDefault="00155BC2" w:rsidP="00155BC2">
      <w:pPr>
        <w:spacing w:line="360" w:lineRule="auto"/>
        <w:rPr>
          <w:rFonts w:ascii="Minion Pro" w:hAnsi="Minion Pro"/>
        </w:rPr>
      </w:pPr>
      <w:r w:rsidRPr="00B91ED7">
        <w:rPr>
          <w:rFonts w:ascii="Minion Pro" w:hAnsi="Minion Pro"/>
        </w:rPr>
        <w:t>As shown in Figure 1, there are emergent new MOOC – type forms being explored, spawning new acronyms. Some of these are:</w:t>
      </w:r>
    </w:p>
    <w:p w14:paraId="68AC11E5" w14:textId="77777777" w:rsidR="00155BC2" w:rsidRPr="00B91ED7" w:rsidRDefault="00155BC2" w:rsidP="00155BC2">
      <w:pPr>
        <w:numPr>
          <w:ilvl w:val="0"/>
          <w:numId w:val="3"/>
        </w:numPr>
        <w:spacing w:line="360" w:lineRule="auto"/>
        <w:ind w:hanging="359"/>
        <w:contextualSpacing/>
        <w:rPr>
          <w:rFonts w:ascii="Minion Pro" w:hAnsi="Minion Pro"/>
        </w:rPr>
      </w:pPr>
      <w:r w:rsidRPr="00924067">
        <w:rPr>
          <w:rFonts w:ascii="Minion Pro" w:hAnsi="Minion Pro"/>
          <w:b/>
        </w:rPr>
        <w:t>OBC:</w:t>
      </w:r>
      <w:r w:rsidRPr="00B91ED7">
        <w:rPr>
          <w:rFonts w:ascii="Minion Pro" w:hAnsi="Minion Pro"/>
        </w:rPr>
        <w:t xml:space="preserve"> Open Boundary Course – formally enrolled students as well as outsiders study the course together – although with different levels of educational support</w:t>
      </w:r>
    </w:p>
    <w:p w14:paraId="2C375B67" w14:textId="77777777" w:rsidR="00155BC2" w:rsidRPr="00B91ED7" w:rsidRDefault="00155BC2" w:rsidP="00155BC2">
      <w:pPr>
        <w:numPr>
          <w:ilvl w:val="0"/>
          <w:numId w:val="3"/>
        </w:numPr>
        <w:spacing w:line="360" w:lineRule="auto"/>
        <w:ind w:hanging="359"/>
        <w:contextualSpacing/>
        <w:rPr>
          <w:rFonts w:ascii="Minion Pro" w:hAnsi="Minion Pro"/>
        </w:rPr>
      </w:pPr>
      <w:r w:rsidRPr="00924067">
        <w:rPr>
          <w:rFonts w:ascii="Minion Pro" w:hAnsi="Minion Pro"/>
          <w:b/>
        </w:rPr>
        <w:t>SPOC:</w:t>
      </w:r>
      <w:r w:rsidRPr="00B91ED7">
        <w:rPr>
          <w:rFonts w:ascii="Minion Pro" w:hAnsi="Minion Pro"/>
        </w:rPr>
        <w:t xml:space="preserve"> Small Private Online Course</w:t>
      </w:r>
    </w:p>
    <w:p w14:paraId="62BA56C2" w14:textId="77777777" w:rsidR="00155BC2" w:rsidRPr="00B91ED7" w:rsidRDefault="00155BC2" w:rsidP="00155BC2">
      <w:pPr>
        <w:numPr>
          <w:ilvl w:val="0"/>
          <w:numId w:val="3"/>
        </w:numPr>
        <w:spacing w:line="360" w:lineRule="auto"/>
        <w:ind w:hanging="359"/>
        <w:contextualSpacing/>
        <w:rPr>
          <w:rFonts w:ascii="Minion Pro" w:hAnsi="Minion Pro"/>
        </w:rPr>
      </w:pPr>
      <w:r w:rsidRPr="00924067">
        <w:rPr>
          <w:rFonts w:ascii="Minion Pro" w:hAnsi="Minion Pro"/>
          <w:b/>
        </w:rPr>
        <w:t>MOC:</w:t>
      </w:r>
      <w:r w:rsidRPr="00B91ED7">
        <w:rPr>
          <w:rFonts w:ascii="Minion Pro" w:hAnsi="Minion Pro"/>
        </w:rPr>
        <w:t xml:space="preserve"> Massive Online Course</w:t>
      </w:r>
    </w:p>
    <w:p w14:paraId="219F303D" w14:textId="77777777" w:rsidR="003B2FC4" w:rsidRPr="003B2FC4" w:rsidRDefault="00155BC2" w:rsidP="00B91ED7">
      <w:pPr>
        <w:numPr>
          <w:ilvl w:val="0"/>
          <w:numId w:val="3"/>
        </w:numPr>
        <w:spacing w:line="360" w:lineRule="auto"/>
        <w:ind w:hanging="359"/>
        <w:contextualSpacing/>
        <w:rPr>
          <w:rFonts w:ascii="Minion Pro" w:hAnsi="Minion Pro"/>
        </w:rPr>
      </w:pPr>
      <w:r w:rsidRPr="00924067">
        <w:rPr>
          <w:rFonts w:ascii="Minion Pro" w:hAnsi="Minion Pro"/>
          <w:b/>
        </w:rPr>
        <w:t>Wrapped MOOC:</w:t>
      </w:r>
      <w:r w:rsidRPr="00B91ED7">
        <w:rPr>
          <w:rFonts w:ascii="Minion Pro" w:hAnsi="Minion Pro"/>
        </w:rPr>
        <w:t xml:space="preserve"> A MOOC that is adapted for paying students or included as part of an existing course for enrolled students</w:t>
      </w:r>
      <w:bookmarkStart w:id="4" w:name="h.dvbmb0xepccc" w:colFirst="0" w:colLast="0"/>
      <w:bookmarkStart w:id="5" w:name="h.z87vie9hhdkq" w:colFirst="0" w:colLast="0"/>
      <w:bookmarkEnd w:id="4"/>
      <w:bookmarkEnd w:id="5"/>
    </w:p>
    <w:p w14:paraId="03B063D2" w14:textId="77777777" w:rsidR="00A94492" w:rsidRPr="00A94492" w:rsidRDefault="00A94492" w:rsidP="00A94492"/>
    <w:p w14:paraId="6D3440D5"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Applications of MOOCs in a South African context</w:t>
      </w:r>
    </w:p>
    <w:p w14:paraId="08A81734" w14:textId="77777777" w:rsidR="00155BC2" w:rsidRPr="00B91ED7" w:rsidRDefault="00155BC2" w:rsidP="00A94492">
      <w:pPr>
        <w:spacing w:line="360" w:lineRule="auto"/>
        <w:jc w:val="both"/>
        <w:rPr>
          <w:rFonts w:ascii="Minion Pro" w:hAnsi="Minion Pro"/>
        </w:rPr>
      </w:pPr>
      <w:r w:rsidRPr="00B91ED7">
        <w:rPr>
          <w:rFonts w:ascii="Minion Pro" w:hAnsi="Minion Pro"/>
        </w:rPr>
        <w:t>The application of MOOCs in a South African context, as elsewhere, spans a continuum of formal and informal educational sectors, as well as the workplace learning/continuing educational sector. On one end, MOOCs can be viewed as learning opportunities that may function as either informal learning, or, conversely, as ‘standalone’ or independent/alternative form of a qualification. In contrast, MOOCs could be integrated into formal education or workplace learning/continuing education, even utilising new forms of certification.</w:t>
      </w:r>
    </w:p>
    <w:p w14:paraId="338EE80E" w14:textId="77777777" w:rsidR="00155BC2" w:rsidRPr="00B91ED7" w:rsidRDefault="00155BC2" w:rsidP="00155BC2">
      <w:pPr>
        <w:spacing w:line="360" w:lineRule="auto"/>
        <w:rPr>
          <w:rFonts w:ascii="Minion Pro" w:hAnsi="Minion Pro"/>
        </w:rPr>
      </w:pPr>
    </w:p>
    <w:p w14:paraId="0C69237A"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MOOCs and the formal education sector</w:t>
      </w:r>
    </w:p>
    <w:p w14:paraId="3882B040" w14:textId="77777777" w:rsidR="00155BC2" w:rsidRPr="00B91ED7" w:rsidRDefault="00155BC2" w:rsidP="00A94492">
      <w:pPr>
        <w:spacing w:line="360" w:lineRule="auto"/>
        <w:jc w:val="both"/>
        <w:rPr>
          <w:rFonts w:ascii="Minion Pro" w:hAnsi="Minion Pro"/>
        </w:rPr>
      </w:pPr>
      <w:r w:rsidRPr="00B91ED7">
        <w:rPr>
          <w:rFonts w:ascii="Minion Pro" w:hAnsi="Minion Pro"/>
        </w:rPr>
        <w:t>Participating in MOOCs does not confer formal university credit: this form of educational delivery therefore cannot be seen to be contributing to expanding formal learning opportunities on a par with a university or further education qualification, in the way UNISA offers. Specific types of MOOCs are likely to have a role to play in the performance, success or throughput rates of formally enrolled students in South African universities; in the categorisation of MOOCs shown in Figure 2, MOOCs that provide gateway skills or opportunities to develop post-graduate literacies could play a part in improving the educational outcomes of currently enrolled students given the poor throughput rates in the South African system. Wrapped MOOCs also provide opportunities for enriching and supplementing courses</w:t>
      </w:r>
      <w:r w:rsidR="00625D6A" w:rsidRPr="00625D6A">
        <w:rPr>
          <w:rFonts w:ascii="Minion Pro" w:hAnsi="Minion Pro"/>
          <w:vertAlign w:val="superscript"/>
        </w:rPr>
        <w:t>4</w:t>
      </w:r>
      <w:r w:rsidRPr="00B91ED7">
        <w:rPr>
          <w:rFonts w:ascii="Minion Pro" w:hAnsi="Minion Pro"/>
        </w:rPr>
        <w:t xml:space="preserve">. SPOCs, such as HarvardX Law courses, where local face-to-face experts draw on and add contextualised knowledge, are also a valuable way of gaining free access to world-class expertise. </w:t>
      </w:r>
    </w:p>
    <w:p w14:paraId="08B0522F" w14:textId="77777777" w:rsidR="00155BC2" w:rsidRDefault="00155BC2" w:rsidP="00155BC2">
      <w:pPr>
        <w:spacing w:line="360" w:lineRule="auto"/>
        <w:rPr>
          <w:rFonts w:ascii="Minion Pro" w:hAnsi="Minion Pro"/>
        </w:rPr>
      </w:pPr>
    </w:p>
    <w:p w14:paraId="3AC48B22" w14:textId="77777777" w:rsidR="00E97EDC" w:rsidRPr="00B91ED7" w:rsidRDefault="00E97EDC" w:rsidP="00155BC2">
      <w:pPr>
        <w:spacing w:line="360" w:lineRule="auto"/>
        <w:rPr>
          <w:rFonts w:ascii="Minion Pro" w:hAnsi="Minion Pro"/>
        </w:rPr>
      </w:pPr>
    </w:p>
    <w:p w14:paraId="6F4D7AC3"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Workplace and non-formal contexts</w:t>
      </w:r>
    </w:p>
    <w:p w14:paraId="20F21DE6" w14:textId="211A697A" w:rsidR="00A94492" w:rsidRPr="00E97EDC" w:rsidRDefault="00155BC2" w:rsidP="00E97EDC">
      <w:pPr>
        <w:spacing w:line="360" w:lineRule="auto"/>
        <w:jc w:val="both"/>
        <w:rPr>
          <w:rFonts w:ascii="Minion Pro" w:hAnsi="Minion Pro"/>
        </w:rPr>
      </w:pPr>
      <w:r w:rsidRPr="00B91ED7">
        <w:rPr>
          <w:rFonts w:ascii="Minion Pro" w:hAnsi="Minion Pro"/>
        </w:rPr>
        <w:t xml:space="preserve">While the MOOC movement is emergent, global trends have made it evident that one clear application of MOOCs is workplace or corporate training. MOOCs may provide opportunities for students to enter the workplace through providing them with exposure to new fields or training in specific skills, often in emerging industries. The MOOC platform providers are beginning to offer learning pathways of certification (Coursera Specializations or edX xSeries), which, while not akin to university credits, may offer alternatives to qualification. The current trend for students to showcase their MOOC certificates on CVs, job portals or personal profiles (such as LinkedIn) is apparent. Another related application is MOOCs that offer continuing professional development opportunities. MOOCs that cater to this sector offer more structured qualifications at relatively low cost, thus increasing accessibility. Some MOOC providers are calling these qualifications ‘nano-degrees’. In adopting this model, South African institutions could forge connections with industry organisations to cater for sector needs and in areas of skills shortages. </w:t>
      </w:r>
    </w:p>
    <w:p w14:paraId="2010A725" w14:textId="77777777" w:rsidR="00E66264" w:rsidRDefault="00E66264" w:rsidP="00E66264"/>
    <w:p w14:paraId="5EC228C9" w14:textId="77777777"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Costs of MOOC production</w:t>
      </w:r>
    </w:p>
    <w:p w14:paraId="59A38CB2" w14:textId="77777777" w:rsidR="00155BC2" w:rsidRPr="00B91ED7" w:rsidRDefault="00155BC2" w:rsidP="00A94492">
      <w:pPr>
        <w:spacing w:line="360" w:lineRule="auto"/>
        <w:jc w:val="both"/>
        <w:rPr>
          <w:rFonts w:ascii="Minion Pro" w:hAnsi="Minion Pro"/>
        </w:rPr>
      </w:pPr>
      <w:r w:rsidRPr="00B91ED7">
        <w:rPr>
          <w:rFonts w:ascii="Minion Pro" w:hAnsi="Minion Pro"/>
        </w:rPr>
        <w:t>The costs of producing a MOOC vary considerably, and, as yet, there is no viable business model to recoup all the expenses incurred in production. The sale of certification generates some income and extensions to this aspect of the model (for example, the introduction of linked courses in a programme of study) and new uses of MOOCs (such as add-ons and paid-for additional services) are being explored with some success by institutions globally. Some of the international platforms (Coursera and FutureLearn) do not require any upfront financial contribution from the partner universities, as they operate on the assumption that the courses flighted on the platforms will generate future income, which will be shared between the platform and the university partner. In contrast, edX is a non-profit venture that requires partner university contributions to fund its operations. Some universities fund their MOOC programmes through donor funding.</w:t>
      </w:r>
    </w:p>
    <w:p w14:paraId="6CF08055" w14:textId="0D4D23CC" w:rsidR="00155BC2" w:rsidRPr="00E97EDC" w:rsidRDefault="00155BC2" w:rsidP="00E97EDC">
      <w:pPr>
        <w:spacing w:line="360" w:lineRule="auto"/>
        <w:ind w:left="1440"/>
        <w:rPr>
          <w:rFonts w:ascii="Minion Pro" w:hAnsi="Minion Pro"/>
          <w:i/>
          <w:sz w:val="24"/>
          <w:szCs w:val="22"/>
        </w:rPr>
      </w:pPr>
      <w:r w:rsidRPr="00924067">
        <w:rPr>
          <w:rFonts w:ascii="Minion Pro" w:hAnsi="Minion Pro"/>
          <w:i/>
          <w:sz w:val="24"/>
          <w:szCs w:val="22"/>
        </w:rPr>
        <w:t xml:space="preserve">The major cost drivers in MOOC production and delivery are: the number of faculty members, administrators, and instructional support personnel participating in the process; the quality of videography; the nature of the delivery platform; technical support for participants; programming for special features such as computer code auto-graders, virtual labs, simulations, or gamification; and analysis of platform data. MOOC production teams that were described to us seldom included fewer than five professionals and, in at least one instance, over 30 people were involved. Course length was not a reliable predictor of costs. </w:t>
      </w:r>
    </w:p>
    <w:p w14:paraId="61782002" w14:textId="77777777" w:rsidR="00155BC2" w:rsidRPr="00B91ED7" w:rsidRDefault="00155BC2" w:rsidP="00A94492">
      <w:pPr>
        <w:spacing w:line="360" w:lineRule="auto"/>
        <w:jc w:val="both"/>
        <w:rPr>
          <w:rFonts w:ascii="Minion Pro" w:hAnsi="Minion Pro"/>
        </w:rPr>
      </w:pPr>
      <w:r w:rsidRPr="00B91ED7">
        <w:rPr>
          <w:rFonts w:ascii="Minion Pro" w:hAnsi="Minion Pro"/>
        </w:rPr>
        <w:t>It is difficult to accurately cost a single MOOC because of the huge variety of types of courses. Reports released by Northern universities range from US$39 000–US$325 300</w:t>
      </w:r>
      <w:r w:rsidR="00625D6A" w:rsidRPr="00625D6A">
        <w:rPr>
          <w:rFonts w:ascii="Minion Pro" w:hAnsi="Minion Pro"/>
          <w:vertAlign w:val="superscript"/>
        </w:rPr>
        <w:t>5</w:t>
      </w:r>
      <w:r w:rsidRPr="00B91ED7">
        <w:rPr>
          <w:rFonts w:ascii="Minion Pro" w:hAnsi="Minion Pro"/>
        </w:rPr>
        <w:t xml:space="preserve">. </w:t>
      </w:r>
    </w:p>
    <w:p w14:paraId="5870D28E" w14:textId="77777777" w:rsidR="00155BC2" w:rsidRPr="00B91ED7" w:rsidRDefault="00155BC2" w:rsidP="00A94492">
      <w:pPr>
        <w:spacing w:line="360" w:lineRule="auto"/>
        <w:jc w:val="both"/>
        <w:rPr>
          <w:rFonts w:ascii="Minion Pro" w:hAnsi="Minion Pro"/>
        </w:rPr>
      </w:pPr>
      <w:r w:rsidRPr="00B91ED7">
        <w:rPr>
          <w:rFonts w:ascii="Minion Pro" w:hAnsi="Minion Pro"/>
        </w:rPr>
        <w:t>The main costs of producing MOOCs, from an institutional perspective are:</w:t>
      </w:r>
    </w:p>
    <w:p w14:paraId="7B4A65A7" w14:textId="77777777" w:rsidR="00155BC2" w:rsidRPr="00B91ED7" w:rsidRDefault="00155BC2" w:rsidP="00A94492">
      <w:pPr>
        <w:pStyle w:val="ListParagraph"/>
        <w:numPr>
          <w:ilvl w:val="0"/>
          <w:numId w:val="6"/>
        </w:numPr>
        <w:spacing w:line="360" w:lineRule="auto"/>
        <w:jc w:val="both"/>
        <w:rPr>
          <w:rFonts w:ascii="Minion Pro" w:hAnsi="Minion Pro"/>
        </w:rPr>
      </w:pPr>
      <w:r w:rsidRPr="00924067">
        <w:rPr>
          <w:rFonts w:ascii="Minion Pro" w:hAnsi="Minion Pro"/>
          <w:b/>
        </w:rPr>
        <w:t>Institutional infrastructure:</w:t>
      </w:r>
      <w:r w:rsidRPr="00B91ED7">
        <w:rPr>
          <w:rFonts w:ascii="Minion Pro" w:hAnsi="Minion Pro"/>
        </w:rPr>
        <w:t xml:space="preserve"> Setting up procedures for decision-making about platforms and the selection and quality assurance of courses is time consuming for a range of institutional personnel (from university leadership to legal advisors). Initial upfront investment may be required for some international platforms (which could be sourced from donor funding). </w:t>
      </w:r>
    </w:p>
    <w:p w14:paraId="702AB03A" w14:textId="77777777" w:rsidR="00155BC2" w:rsidRPr="00B91ED7" w:rsidRDefault="00155BC2" w:rsidP="00A94492">
      <w:pPr>
        <w:pStyle w:val="ListParagraph"/>
        <w:numPr>
          <w:ilvl w:val="0"/>
          <w:numId w:val="6"/>
        </w:numPr>
        <w:spacing w:line="360" w:lineRule="auto"/>
        <w:jc w:val="both"/>
        <w:rPr>
          <w:rFonts w:ascii="Minion Pro" w:hAnsi="Minion Pro"/>
        </w:rPr>
      </w:pPr>
      <w:r w:rsidRPr="00924067">
        <w:rPr>
          <w:rFonts w:ascii="Minion Pro" w:hAnsi="Minion Pro"/>
          <w:b/>
        </w:rPr>
        <w:t>Support staff:</w:t>
      </w:r>
      <w:r w:rsidRPr="00B91ED7">
        <w:rPr>
          <w:rFonts w:ascii="Minion Pro" w:hAnsi="Minion Pro"/>
        </w:rPr>
        <w:t xml:space="preserve"> Generally MOOCs require a support team of learning designers, video production specialists and academic content assistants to work on creating the course content – although there are a range of options, from repurposing existing internal units, to setting up regional collaborations between institutions for shared capacity development, to outsourcing these roles to private providers. The actual costs will depend on the nature of the particular course – however, it can be assumed that a single course will require the inputs of a team of two or three support staff for several months.</w:t>
      </w:r>
    </w:p>
    <w:p w14:paraId="30B784F3" w14:textId="77777777" w:rsidR="00155BC2" w:rsidRPr="00B91ED7" w:rsidRDefault="00155BC2" w:rsidP="00A94492">
      <w:pPr>
        <w:pStyle w:val="ListParagraph"/>
        <w:numPr>
          <w:ilvl w:val="0"/>
          <w:numId w:val="6"/>
        </w:numPr>
        <w:spacing w:line="360" w:lineRule="auto"/>
        <w:jc w:val="both"/>
        <w:rPr>
          <w:rFonts w:ascii="Minion Pro" w:hAnsi="Minion Pro"/>
        </w:rPr>
      </w:pPr>
      <w:r w:rsidRPr="00924067">
        <w:rPr>
          <w:rFonts w:ascii="Minion Pro" w:hAnsi="Minion Pro"/>
          <w:b/>
        </w:rPr>
        <w:t>Educators:</w:t>
      </w:r>
      <w:r w:rsidRPr="00B91ED7">
        <w:rPr>
          <w:rFonts w:ascii="Minion Pro" w:hAnsi="Minion Pro"/>
        </w:rPr>
        <w:t xml:space="preserve"> Depending on the type of course and the support available, academics typically report spending between 100 and 400 hours in the process of production</w:t>
      </w:r>
      <w:r w:rsidR="00625D6A">
        <w:rPr>
          <w:rFonts w:ascii="Minion Pro" w:hAnsi="Minion Pro"/>
          <w:vertAlign w:val="superscript"/>
        </w:rPr>
        <w:t>6</w:t>
      </w:r>
      <w:r w:rsidRPr="00B91ED7">
        <w:rPr>
          <w:rFonts w:ascii="Minion Pro" w:hAnsi="Minion Pro"/>
        </w:rPr>
        <w:t xml:space="preserve">. Unlike traditional courses, the bulk of the input is done in production, while significantly less time is spent while the course is running. Effectively, teaching time is being built into the course during production. In some instances, academics will require funding to pay for someone to teach in their place for the period devoted to production. Given that course production does not offer any academic career rewards, motivation to spend the time on producing a MOOC, rather than other academic activities will have to be considered. </w:t>
      </w:r>
    </w:p>
    <w:p w14:paraId="0B743D11" w14:textId="77777777" w:rsidR="00155BC2" w:rsidRPr="00B91ED7" w:rsidRDefault="00155BC2" w:rsidP="00A94492">
      <w:pPr>
        <w:pStyle w:val="ListParagraph"/>
        <w:numPr>
          <w:ilvl w:val="0"/>
          <w:numId w:val="6"/>
        </w:numPr>
        <w:spacing w:line="360" w:lineRule="auto"/>
        <w:jc w:val="both"/>
        <w:rPr>
          <w:rFonts w:ascii="Minion Pro" w:hAnsi="Minion Pro"/>
        </w:rPr>
      </w:pPr>
      <w:r w:rsidRPr="00924067">
        <w:rPr>
          <w:rFonts w:ascii="Minion Pro" w:hAnsi="Minion Pro"/>
          <w:b/>
        </w:rPr>
        <w:t>Production:</w:t>
      </w:r>
      <w:r w:rsidRPr="00B91ED7">
        <w:rPr>
          <w:rFonts w:ascii="Minion Pro" w:hAnsi="Minion Pro"/>
        </w:rPr>
        <w:t xml:space="preserve"> MOOCs on the major international platforms favour short video-recorded lectures as the main media for the content. High-quality video is costly and requires access to equipment (which can be hired or bought). The actual cost per minute of video will depend on the style of the segment: whether it is a cheaper screencast or a high-production video. These costs range widely from R2 000–R12 000 per short video. When estimating this cost, the staffing and equipment (filming studio or video camera, sound and lighting) are included. Instead of fully investing in capital equipment and personnel, it is possible to outsource to a commercial video production company or hire in contractors for intensive film shoot days.</w:t>
      </w:r>
    </w:p>
    <w:p w14:paraId="0557600A" w14:textId="77777777" w:rsidR="00155BC2" w:rsidRPr="00B91ED7" w:rsidRDefault="00155BC2" w:rsidP="00A94492">
      <w:pPr>
        <w:pStyle w:val="ListParagraph"/>
        <w:numPr>
          <w:ilvl w:val="0"/>
          <w:numId w:val="6"/>
        </w:numPr>
        <w:spacing w:line="360" w:lineRule="auto"/>
        <w:jc w:val="both"/>
        <w:rPr>
          <w:rFonts w:ascii="Minion Pro" w:hAnsi="Minion Pro"/>
        </w:rPr>
      </w:pPr>
      <w:r w:rsidRPr="00924067">
        <w:rPr>
          <w:rFonts w:ascii="Minion Pro" w:hAnsi="Minion Pro"/>
          <w:b/>
        </w:rPr>
        <w:t>Course material:</w:t>
      </w:r>
      <w:r w:rsidRPr="00B91ED7">
        <w:rPr>
          <w:rFonts w:ascii="Minion Pro" w:hAnsi="Minion Pro"/>
        </w:rPr>
        <w:t xml:space="preserve"> If specific course material under copyright licence is required, there may be costs incurred in buying the rights to use it. Generally, open-source material or originally produced material is favoured in the production of MOOC.</w:t>
      </w:r>
    </w:p>
    <w:p w14:paraId="040C0F37" w14:textId="77777777" w:rsidR="00155BC2" w:rsidRPr="00B91ED7" w:rsidRDefault="00155BC2" w:rsidP="00155BC2">
      <w:pPr>
        <w:spacing w:line="240" w:lineRule="auto"/>
        <w:rPr>
          <w:rFonts w:ascii="Minion Pro" w:hAnsi="Minion Pro"/>
        </w:rPr>
      </w:pPr>
    </w:p>
    <w:p w14:paraId="5DB07191" w14:textId="77777777" w:rsidR="003B2FC4" w:rsidRDefault="003B2FC4" w:rsidP="003B2FC4"/>
    <w:p w14:paraId="5ED77B60" w14:textId="77777777" w:rsidR="00A94492" w:rsidRDefault="00A94492" w:rsidP="003B2FC4"/>
    <w:p w14:paraId="0BA50318" w14:textId="498CD72C" w:rsidR="00A94492" w:rsidRPr="003B2FC4" w:rsidRDefault="00A94492" w:rsidP="003B2FC4">
      <w:r w:rsidRPr="007E1CE7">
        <w:rPr>
          <w:rFonts w:ascii="Minion Pro" w:hAnsi="Minion Pro"/>
          <w:noProof/>
          <w:sz w:val="28"/>
          <w:lang w:val="en-US" w:eastAsia="en-US"/>
        </w:rPr>
        <mc:AlternateContent>
          <mc:Choice Requires="wps">
            <w:drawing>
              <wp:anchor distT="0" distB="0" distL="114300" distR="114300" simplePos="0" relativeHeight="251661312" behindDoc="0" locked="0" layoutInCell="1" allowOverlap="1" wp14:anchorId="2F11793A" wp14:editId="7360DFB3">
                <wp:simplePos x="0" y="0"/>
                <wp:positionH relativeFrom="column">
                  <wp:posOffset>2628900</wp:posOffset>
                </wp:positionH>
                <wp:positionV relativeFrom="paragraph">
                  <wp:posOffset>114300</wp:posOffset>
                </wp:positionV>
                <wp:extent cx="2743200" cy="9008745"/>
                <wp:effectExtent l="0" t="0" r="0" b="8255"/>
                <wp:wrapSquare wrapText="bothSides"/>
                <wp:docPr id="2" name="Rectangle 2"/>
                <wp:cNvGraphicFramePr/>
                <a:graphic xmlns:a="http://schemas.openxmlformats.org/drawingml/2006/main">
                  <a:graphicData uri="http://schemas.microsoft.com/office/word/2010/wordprocessingShape">
                    <wps:wsp>
                      <wps:cNvSpPr/>
                      <wps:spPr>
                        <a:xfrm>
                          <a:off x="0" y="0"/>
                          <a:ext cx="2743200" cy="9008745"/>
                        </a:xfrm>
                        <a:prstGeom prst="rect">
                          <a:avLst/>
                        </a:prstGeom>
                        <a:solidFill>
                          <a:srgbClr val="FFFFFF"/>
                        </a:solidFill>
                        <a:ln>
                          <a:noFill/>
                        </a:ln>
                        <a:effectLst/>
                      </wps:spPr>
                      <wps:style>
                        <a:lnRef idx="1">
                          <a:schemeClr val="accent1"/>
                        </a:lnRef>
                        <a:fillRef idx="3">
                          <a:schemeClr val="accent1"/>
                        </a:fillRef>
                        <a:effectRef idx="2">
                          <a:schemeClr val="accent1"/>
                        </a:effectRef>
                        <a:fontRef idx="minor">
                          <a:schemeClr val="lt1"/>
                        </a:fontRef>
                      </wps:style>
                      <wps:txbx>
                        <w:txbxContent>
                          <w:p w14:paraId="5CF4D12F" w14:textId="77777777" w:rsidR="00E66264" w:rsidRPr="00E66264" w:rsidRDefault="00E66264" w:rsidP="00E902EA">
                            <w:pPr>
                              <w:pStyle w:val="Heading1"/>
                              <w:contextualSpacing w:val="0"/>
                              <w:rPr>
                                <w:rFonts w:ascii="Minion Pro" w:hAnsi="Minion Pro"/>
                                <w:b/>
                                <w:color w:val="76923C" w:themeColor="accent3" w:themeShade="BF"/>
                                <w:sz w:val="28"/>
                              </w:rPr>
                            </w:pPr>
                            <w:r w:rsidRPr="00E66264">
                              <w:rPr>
                                <w:rFonts w:ascii="Minion Pro" w:hAnsi="Minion Pro"/>
                                <w:b/>
                                <w:color w:val="76923C" w:themeColor="accent3" w:themeShade="BF"/>
                                <w:sz w:val="28"/>
                              </w:rPr>
                              <w:t xml:space="preserve">Resources for further reading </w:t>
                            </w:r>
                          </w:p>
                          <w:p w14:paraId="3709EAF1" w14:textId="77777777" w:rsidR="00E66264" w:rsidRPr="00E66264" w:rsidRDefault="00E66264" w:rsidP="00E902EA">
                            <w:pPr>
                              <w:rPr>
                                <w:rFonts w:ascii="Minion Pro" w:hAnsi="Minion Pro"/>
                                <w:color w:val="76923C" w:themeColor="accent3" w:themeShade="BF"/>
                              </w:rPr>
                            </w:pPr>
                          </w:p>
                          <w:p w14:paraId="1286E47D" w14:textId="77777777" w:rsidR="00E66264" w:rsidRPr="00E66264" w:rsidRDefault="00E66264" w:rsidP="00AE3B02">
                            <w:pPr>
                              <w:jc w:val="center"/>
                              <w:rPr>
                                <w:rFonts w:ascii="Minion Pro" w:hAnsi="Minion Pro"/>
                                <w:color w:val="76923C" w:themeColor="accent3" w:themeShade="BF"/>
                                <w:sz w:val="18"/>
                                <w:szCs w:val="18"/>
                              </w:rPr>
                            </w:pPr>
                          </w:p>
                          <w:p w14:paraId="5BF84715"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Atenas J (2015) Model for democratisation of the contents hosted in MOOCs. RUSC. Universities and Knowledge Society Journal 12(1): 3–14. Accessed from </w:t>
                            </w:r>
                            <w:hyperlink r:id="rId14" w:history="1">
                              <w:r w:rsidRPr="00E66264">
                                <w:rPr>
                                  <w:rFonts w:ascii="Minion Pro" w:hAnsi="Minion Pro"/>
                                  <w:color w:val="76923C" w:themeColor="accent3" w:themeShade="BF"/>
                                  <w:sz w:val="18"/>
                                  <w:szCs w:val="18"/>
                                </w:rPr>
                                <w:t>http://dx.doi.org/10.7238/rusc.v12i1.2031</w:t>
                              </w:r>
                            </w:hyperlink>
                          </w:p>
                          <w:p w14:paraId="5ECBC8E5" w14:textId="77777777" w:rsidR="00E66264" w:rsidRPr="00E66264" w:rsidRDefault="00E66264" w:rsidP="00B91ED7">
                            <w:pPr>
                              <w:rPr>
                                <w:rFonts w:ascii="Minion Pro" w:hAnsi="Minion Pro"/>
                                <w:color w:val="76923C" w:themeColor="accent3" w:themeShade="BF"/>
                                <w:sz w:val="18"/>
                                <w:szCs w:val="18"/>
                              </w:rPr>
                            </w:pPr>
                          </w:p>
                          <w:p w14:paraId="4AE6D1FB"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Bayne S &amp; Ross J (2014) The pedagogy of the MOOC: The UK view. York: Higher Education Academy. Retrieved from </w:t>
                            </w:r>
                            <w:hyperlink r:id="rId15" w:history="1">
                              <w:r w:rsidRPr="00E66264">
                                <w:rPr>
                                  <w:rFonts w:ascii="Minion Pro" w:hAnsi="Minion Pro"/>
                                  <w:color w:val="76923C" w:themeColor="accent3" w:themeShade="BF"/>
                                  <w:sz w:val="18"/>
                                  <w:szCs w:val="18"/>
                                </w:rPr>
                                <w:t>http://www.heacademy.ac.uk/resources/detail/elt/the_pedagogy_of_the_MOOC_UK_view</w:t>
                              </w:r>
                            </w:hyperlink>
                          </w:p>
                          <w:p w14:paraId="14126D64" w14:textId="77777777" w:rsidR="00E66264" w:rsidRPr="00E66264" w:rsidRDefault="00E66264" w:rsidP="00B91ED7">
                            <w:pPr>
                              <w:rPr>
                                <w:rFonts w:ascii="Minion Pro" w:hAnsi="Minion Pro"/>
                                <w:color w:val="76923C" w:themeColor="accent3" w:themeShade="BF"/>
                                <w:sz w:val="18"/>
                                <w:szCs w:val="18"/>
                              </w:rPr>
                            </w:pPr>
                          </w:p>
                          <w:p w14:paraId="21FB5BB0"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Class Central (2014) Online courses raise their game: A review of MOOC stats and trends in 2014. Retrieved from </w:t>
                            </w:r>
                            <w:hyperlink r:id="rId16" w:history="1">
                              <w:r w:rsidRPr="00E66264">
                                <w:rPr>
                                  <w:rFonts w:ascii="Minion Pro" w:hAnsi="Minion Pro"/>
                                  <w:color w:val="76923C" w:themeColor="accent3" w:themeShade="BF"/>
                                  <w:sz w:val="18"/>
                                  <w:szCs w:val="18"/>
                                </w:rPr>
                                <w:t>https://www.class-central.com/report/moocs-stats-and-trends-2014/</w:t>
                              </w:r>
                            </w:hyperlink>
                          </w:p>
                          <w:p w14:paraId="42F937EB" w14:textId="77777777" w:rsidR="00E66264" w:rsidRPr="00E66264" w:rsidRDefault="00E66264" w:rsidP="00B91ED7">
                            <w:pPr>
                              <w:rPr>
                                <w:rFonts w:ascii="Minion Pro" w:hAnsi="Minion Pro"/>
                                <w:color w:val="76923C" w:themeColor="accent3" w:themeShade="BF"/>
                                <w:sz w:val="18"/>
                                <w:szCs w:val="18"/>
                              </w:rPr>
                            </w:pPr>
                          </w:p>
                          <w:p w14:paraId="6DE30910"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Hollands FM &amp; Tirthali D (2014) MOOCs: Expectations and Reality. Center for Benefit-Cost Studies of Education, Teachers’ College, Columbia University. Retrieved from http://www.academicpartnerships.com/sites/default/files/MOOCs_Expectations_and_Reality.pdf</w:t>
                            </w:r>
                          </w:p>
                          <w:p w14:paraId="39DF8AB9" w14:textId="77777777" w:rsidR="00E66264" w:rsidRPr="00E66264" w:rsidRDefault="00E66264" w:rsidP="00B91ED7">
                            <w:pPr>
                              <w:rPr>
                                <w:rFonts w:ascii="Minion Pro" w:hAnsi="Minion Pro"/>
                                <w:color w:val="76923C" w:themeColor="accent3" w:themeShade="BF"/>
                                <w:sz w:val="18"/>
                                <w:szCs w:val="18"/>
                              </w:rPr>
                            </w:pPr>
                          </w:p>
                          <w:p w14:paraId="4FD9A1DD"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Jordan K (2014) Initial trends in enrolment and completion of massive open online courses. The International Review Of Research In Open And Distributed Learning 15(1). Retrieved from </w:t>
                            </w:r>
                            <w:hyperlink r:id="rId17" w:history="1">
                              <w:r w:rsidRPr="00E66264">
                                <w:rPr>
                                  <w:rFonts w:ascii="Minion Pro" w:hAnsi="Minion Pro"/>
                                  <w:color w:val="76923C" w:themeColor="accent3" w:themeShade="BF"/>
                                  <w:sz w:val="18"/>
                                  <w:szCs w:val="18"/>
                                </w:rPr>
                                <w:t>http://www.irrodl.org/index.php/irrodl/article/view/1651</w:t>
                              </w:r>
                            </w:hyperlink>
                            <w:r w:rsidRPr="00E66264">
                              <w:rPr>
                                <w:rFonts w:ascii="Minion Pro" w:hAnsi="Minion Pro"/>
                                <w:color w:val="76923C" w:themeColor="accent3" w:themeShade="BF"/>
                                <w:sz w:val="18"/>
                                <w:szCs w:val="18"/>
                              </w:rPr>
                              <w:t xml:space="preserve"> </w:t>
                            </w:r>
                          </w:p>
                          <w:p w14:paraId="6B238023" w14:textId="77777777" w:rsidR="00E66264" w:rsidRPr="00E66264" w:rsidRDefault="00E66264" w:rsidP="00B91ED7">
                            <w:pPr>
                              <w:rPr>
                                <w:rFonts w:ascii="Minion Pro" w:hAnsi="Minion Pro"/>
                                <w:color w:val="76923C" w:themeColor="accent3" w:themeShade="BF"/>
                                <w:sz w:val="18"/>
                                <w:szCs w:val="18"/>
                              </w:rPr>
                            </w:pPr>
                          </w:p>
                          <w:p w14:paraId="4BF7AB49"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Liyanagunawardena T, Williams S &amp; Adams A. (2013) The impact and reach of MOOCs: A developing countries’ perspective. eLearning Papers (33). ISSN 1887-1542. Retrieved from </w:t>
                            </w:r>
                            <w:hyperlink r:id="rId18" w:history="1">
                              <w:r w:rsidRPr="00E66264">
                                <w:rPr>
                                  <w:rFonts w:ascii="Minion Pro" w:hAnsi="Minion Pro"/>
                                  <w:color w:val="76923C" w:themeColor="accent3" w:themeShade="BF"/>
                                  <w:sz w:val="18"/>
                                  <w:szCs w:val="18"/>
                                </w:rPr>
                                <w:t>http://centaur.reading.ac.uk/32452/1/In-depth_33_1.pdf</w:t>
                              </w:r>
                            </w:hyperlink>
                          </w:p>
                          <w:p w14:paraId="7772F100"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p>
                          <w:p w14:paraId="0F9472E8"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Mazoue J (2014) Beyond the MOOC model: Changing educational paradigms (EDUCAUSE Review) EDUCAUSE.edu, Published 10 November 2014. Retrieved from </w:t>
                            </w:r>
                            <w:hyperlink r:id="rId19" w:history="1">
                              <w:r w:rsidRPr="00E66264">
                                <w:rPr>
                                  <w:rFonts w:ascii="Minion Pro" w:hAnsi="Minion Pro"/>
                                  <w:color w:val="76923C" w:themeColor="accent3" w:themeShade="BF"/>
                                  <w:sz w:val="18"/>
                                  <w:szCs w:val="18"/>
                                </w:rPr>
                                <w:t>www.educause.edu/ero/article/beyond-mooc-model-changing-educational-paradigms</w:t>
                              </w:r>
                            </w:hyperlink>
                          </w:p>
                          <w:p w14:paraId="4D08E2F5"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p>
                          <w:p w14:paraId="68F79F14"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Reich J (2015) Rebooting MOOC. Research Science 347(6217): 34–35 DOI:10.1126/science.1261627 </w:t>
                            </w:r>
                          </w:p>
                          <w:p w14:paraId="7E9EA671"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p>
                          <w:p w14:paraId="276437A3"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Wintrup J, Kelly Wakefield K &amp; Hugh Davis H (2015) Engaged learning in MOOCs: A study using the UK Engagement Survey, Retrieved from </w:t>
                            </w:r>
                            <w:hyperlink r:id="rId20" w:history="1">
                              <w:r w:rsidRPr="00E66264">
                                <w:rPr>
                                  <w:rFonts w:ascii="Minion Pro" w:hAnsi="Minion Pro"/>
                                  <w:color w:val="76923C" w:themeColor="accent3" w:themeShade="BF"/>
                                  <w:sz w:val="18"/>
                                  <w:szCs w:val="18"/>
                                </w:rPr>
                                <w:t>https://www.heacademy.ac.uk/node/10346</w:t>
                              </w:r>
                            </w:hyperlink>
                            <w:r w:rsidRPr="00E66264">
                              <w:rPr>
                                <w:rFonts w:ascii="Minion Pro" w:hAnsi="Minion Pro"/>
                                <w:color w:val="76923C" w:themeColor="accent3" w:themeShade="BF"/>
                                <w:sz w:val="18"/>
                                <w:szCs w:val="18"/>
                              </w:rPr>
                              <w:t xml:space="preserve"> </w:t>
                            </w:r>
                          </w:p>
                          <w:p w14:paraId="4AB721FC" w14:textId="77777777" w:rsidR="00E66264" w:rsidRPr="00E66264" w:rsidRDefault="00E66264" w:rsidP="00AE3B02">
                            <w:pPr>
                              <w:jc w:val="center"/>
                              <w:rPr>
                                <w:rFonts w:ascii="Minion Pro" w:hAnsi="Minion Pro"/>
                                <w:color w:val="76923C" w:themeColor="accent3" w:themeShade="BF"/>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9" style="position:absolute;margin-left:207pt;margin-top:9pt;width:3in;height:709.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" stroked="f">
                <v:textbox>
                  <w:txbxContent>
                    <w:p w14:paraId="5CF4D12F" w14:textId="77777777" w:rsidR="00E66264" w:rsidRPr="00E66264" w:rsidRDefault="00E66264" w:rsidP="00E902EA">
                      <w:pPr>
                        <w:pStyle w:val="Heading1"/>
                        <w:contextualSpacing w:val="0"/>
                        <w:rPr>
                          <w:rFonts w:ascii="Minion Pro" w:hAnsi="Minion Pro"/>
                          <w:b/>
                          <w:color w:val="76923C" w:themeColor="accent3" w:themeShade="BF"/>
                          <w:sz w:val="28"/>
                        </w:rPr>
                      </w:pPr>
                      <w:r w:rsidRPr="00E66264">
                        <w:rPr>
                          <w:rFonts w:ascii="Minion Pro" w:hAnsi="Minion Pro"/>
                          <w:b/>
                          <w:color w:val="76923C" w:themeColor="accent3" w:themeShade="BF"/>
                          <w:sz w:val="28"/>
                        </w:rPr>
                        <w:t xml:space="preserve">Resources for further reading </w:t>
                      </w:r>
                    </w:p>
                    <w:p w14:paraId="3709EAF1" w14:textId="77777777" w:rsidR="00E66264" w:rsidRPr="00E66264" w:rsidRDefault="00E66264" w:rsidP="00E902EA">
                      <w:pPr>
                        <w:rPr>
                          <w:rFonts w:ascii="Minion Pro" w:hAnsi="Minion Pro"/>
                          <w:color w:val="76923C" w:themeColor="accent3" w:themeShade="BF"/>
                        </w:rPr>
                      </w:pPr>
                    </w:p>
                    <w:p w14:paraId="1286E47D" w14:textId="77777777" w:rsidR="00E66264" w:rsidRPr="00E66264" w:rsidRDefault="00E66264" w:rsidP="00AE3B02">
                      <w:pPr>
                        <w:jc w:val="center"/>
                        <w:rPr>
                          <w:rFonts w:ascii="Minion Pro" w:hAnsi="Minion Pro"/>
                          <w:color w:val="76923C" w:themeColor="accent3" w:themeShade="BF"/>
                          <w:sz w:val="18"/>
                          <w:szCs w:val="18"/>
                        </w:rPr>
                      </w:pPr>
                    </w:p>
                    <w:p w14:paraId="5BF84715"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Atenas J (2015) Model for democratisation of the contents hosted in MOOCs. RUSC. Universities and Knowledge Society Journal 12(1): 3–14. Accessed from </w:t>
                      </w:r>
                      <w:hyperlink r:id="rId21" w:history="1">
                        <w:r w:rsidRPr="00E66264">
                          <w:rPr>
                            <w:rFonts w:ascii="Minion Pro" w:hAnsi="Minion Pro"/>
                            <w:color w:val="76923C" w:themeColor="accent3" w:themeShade="BF"/>
                            <w:sz w:val="18"/>
                            <w:szCs w:val="18"/>
                          </w:rPr>
                          <w:t>http://dx.doi.org/10.7238/rusc.v12i1.2031</w:t>
                        </w:r>
                      </w:hyperlink>
                    </w:p>
                    <w:p w14:paraId="5ECBC8E5" w14:textId="77777777" w:rsidR="00E66264" w:rsidRPr="00E66264" w:rsidRDefault="00E66264" w:rsidP="00B91ED7">
                      <w:pPr>
                        <w:rPr>
                          <w:rFonts w:ascii="Minion Pro" w:hAnsi="Minion Pro"/>
                          <w:color w:val="76923C" w:themeColor="accent3" w:themeShade="BF"/>
                          <w:sz w:val="18"/>
                          <w:szCs w:val="18"/>
                        </w:rPr>
                      </w:pPr>
                    </w:p>
                    <w:p w14:paraId="4AE6D1FB"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Bayne S &amp; Ross J (2014) The pedagogy of the MOOC: The UK view. York: Higher Education Academy. Retrieved from </w:t>
                      </w:r>
                      <w:hyperlink r:id="rId22" w:history="1">
                        <w:r w:rsidRPr="00E66264">
                          <w:rPr>
                            <w:rFonts w:ascii="Minion Pro" w:hAnsi="Minion Pro"/>
                            <w:color w:val="76923C" w:themeColor="accent3" w:themeShade="BF"/>
                            <w:sz w:val="18"/>
                            <w:szCs w:val="18"/>
                          </w:rPr>
                          <w:t>http://www.heacademy.ac.uk/resources/detail/elt/the_pedagogy_of_the_MOOC_UK_view</w:t>
                        </w:r>
                      </w:hyperlink>
                    </w:p>
                    <w:p w14:paraId="14126D64" w14:textId="77777777" w:rsidR="00E66264" w:rsidRPr="00E66264" w:rsidRDefault="00E66264" w:rsidP="00B91ED7">
                      <w:pPr>
                        <w:rPr>
                          <w:rFonts w:ascii="Minion Pro" w:hAnsi="Minion Pro"/>
                          <w:color w:val="76923C" w:themeColor="accent3" w:themeShade="BF"/>
                          <w:sz w:val="18"/>
                          <w:szCs w:val="18"/>
                        </w:rPr>
                      </w:pPr>
                    </w:p>
                    <w:p w14:paraId="21FB5BB0"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Class Central (2014) Online courses raise their game: A review of MOOC stats and trends in 2014. Retrieved from </w:t>
                      </w:r>
                      <w:hyperlink r:id="rId23" w:history="1">
                        <w:r w:rsidRPr="00E66264">
                          <w:rPr>
                            <w:rFonts w:ascii="Minion Pro" w:hAnsi="Minion Pro"/>
                            <w:color w:val="76923C" w:themeColor="accent3" w:themeShade="BF"/>
                            <w:sz w:val="18"/>
                            <w:szCs w:val="18"/>
                          </w:rPr>
                          <w:t>https://www.class-central.com/report/moocs-stats-and-trends-2014/</w:t>
                        </w:r>
                      </w:hyperlink>
                    </w:p>
                    <w:p w14:paraId="42F937EB" w14:textId="77777777" w:rsidR="00E66264" w:rsidRPr="00E66264" w:rsidRDefault="00E66264" w:rsidP="00B91ED7">
                      <w:pPr>
                        <w:rPr>
                          <w:rFonts w:ascii="Minion Pro" w:hAnsi="Minion Pro"/>
                          <w:color w:val="76923C" w:themeColor="accent3" w:themeShade="BF"/>
                          <w:sz w:val="18"/>
                          <w:szCs w:val="18"/>
                        </w:rPr>
                      </w:pPr>
                    </w:p>
                    <w:p w14:paraId="6DE30910"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Hollands FM &amp; Tirthali D (2014) MOOCs: Expectations and Reality. Center for Benefit-Cost Studies of Education, Teachers’ College, Columbia University. Retrieved from http://www.academicpartnerships.com/sites/default/files/MOOCs_Expectations_and_Reality.pdf</w:t>
                      </w:r>
                    </w:p>
                    <w:p w14:paraId="39DF8AB9" w14:textId="77777777" w:rsidR="00E66264" w:rsidRPr="00E66264" w:rsidRDefault="00E66264" w:rsidP="00B91ED7">
                      <w:pPr>
                        <w:rPr>
                          <w:rFonts w:ascii="Minion Pro" w:hAnsi="Minion Pro"/>
                          <w:color w:val="76923C" w:themeColor="accent3" w:themeShade="BF"/>
                          <w:sz w:val="18"/>
                          <w:szCs w:val="18"/>
                        </w:rPr>
                      </w:pPr>
                    </w:p>
                    <w:p w14:paraId="4FD9A1DD"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Jordan K (2014) Initial trends in enrolment and completion of massive open online courses. The International Review Of Research In Open And Distributed Learning 15(1). Retrieved from </w:t>
                      </w:r>
                      <w:hyperlink r:id="rId24" w:history="1">
                        <w:r w:rsidRPr="00E66264">
                          <w:rPr>
                            <w:rFonts w:ascii="Minion Pro" w:hAnsi="Minion Pro"/>
                            <w:color w:val="76923C" w:themeColor="accent3" w:themeShade="BF"/>
                            <w:sz w:val="18"/>
                            <w:szCs w:val="18"/>
                          </w:rPr>
                          <w:t>http://www.irrodl.org/index.php/irrodl/article/view/1651</w:t>
                        </w:r>
                      </w:hyperlink>
                      <w:r w:rsidRPr="00E66264">
                        <w:rPr>
                          <w:rFonts w:ascii="Minion Pro" w:hAnsi="Minion Pro"/>
                          <w:color w:val="76923C" w:themeColor="accent3" w:themeShade="BF"/>
                          <w:sz w:val="18"/>
                          <w:szCs w:val="18"/>
                        </w:rPr>
                        <w:t xml:space="preserve"> </w:t>
                      </w:r>
                    </w:p>
                    <w:p w14:paraId="6B238023" w14:textId="77777777" w:rsidR="00E66264" w:rsidRPr="00E66264" w:rsidRDefault="00E66264" w:rsidP="00B91ED7">
                      <w:pPr>
                        <w:rPr>
                          <w:rFonts w:ascii="Minion Pro" w:hAnsi="Minion Pro"/>
                          <w:color w:val="76923C" w:themeColor="accent3" w:themeShade="BF"/>
                          <w:sz w:val="18"/>
                          <w:szCs w:val="18"/>
                        </w:rPr>
                      </w:pPr>
                    </w:p>
                    <w:p w14:paraId="4BF7AB49" w14:textId="77777777" w:rsidR="00E66264" w:rsidRPr="00E66264" w:rsidRDefault="00E66264" w:rsidP="00B91ED7">
                      <w:pPr>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Liyanagunawardena T, Williams S &amp; Adams A. (2013) The impact and reach of MOOCs: A developing countries’ perspective. eLearning Papers (33). ISSN 1887-1542. Retrieved from </w:t>
                      </w:r>
                      <w:hyperlink r:id="rId25" w:history="1">
                        <w:r w:rsidRPr="00E66264">
                          <w:rPr>
                            <w:rFonts w:ascii="Minion Pro" w:hAnsi="Minion Pro"/>
                            <w:color w:val="76923C" w:themeColor="accent3" w:themeShade="BF"/>
                            <w:sz w:val="18"/>
                            <w:szCs w:val="18"/>
                          </w:rPr>
                          <w:t>http://centaur.reading.ac.uk/32452/1/In-depth_33_1.pdf</w:t>
                        </w:r>
                      </w:hyperlink>
                    </w:p>
                    <w:p w14:paraId="7772F100"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p>
                    <w:p w14:paraId="0F9472E8"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Mazoue J (2014) Beyond the MOOC model: Changing educational paradigms (EDUCAUSE Review) EDUCAUSE.edu, Published 10 November 2014. Retrieved from </w:t>
                      </w:r>
                      <w:hyperlink r:id="rId26" w:history="1">
                        <w:r w:rsidRPr="00E66264">
                          <w:rPr>
                            <w:rFonts w:ascii="Minion Pro" w:hAnsi="Minion Pro"/>
                            <w:color w:val="76923C" w:themeColor="accent3" w:themeShade="BF"/>
                            <w:sz w:val="18"/>
                            <w:szCs w:val="18"/>
                          </w:rPr>
                          <w:t>www.educause.edu/ero/article/beyond-mooc-model-changing-educational-paradigms</w:t>
                        </w:r>
                      </w:hyperlink>
                    </w:p>
                    <w:p w14:paraId="4D08E2F5"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p>
                    <w:p w14:paraId="68F79F14"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Reich J (2015) Rebooting MOOC. Research Science 347(6217): 34–35 DOI:10.1126/science.1261627 </w:t>
                      </w:r>
                    </w:p>
                    <w:p w14:paraId="7E9EA671"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p>
                    <w:p w14:paraId="276437A3" w14:textId="77777777" w:rsidR="00E66264" w:rsidRPr="00E66264" w:rsidRDefault="00E66264" w:rsidP="00B91ED7">
                      <w:pPr>
                        <w:pStyle w:val="Normal1"/>
                        <w:spacing w:after="120" w:line="240" w:lineRule="auto"/>
                        <w:rPr>
                          <w:rFonts w:ascii="Minion Pro" w:hAnsi="Minion Pro"/>
                          <w:color w:val="76923C" w:themeColor="accent3" w:themeShade="BF"/>
                          <w:sz w:val="18"/>
                          <w:szCs w:val="18"/>
                        </w:rPr>
                      </w:pPr>
                      <w:r w:rsidRPr="00E66264">
                        <w:rPr>
                          <w:rFonts w:ascii="Minion Pro" w:hAnsi="Minion Pro"/>
                          <w:color w:val="76923C" w:themeColor="accent3" w:themeShade="BF"/>
                          <w:sz w:val="18"/>
                          <w:szCs w:val="18"/>
                        </w:rPr>
                        <w:t xml:space="preserve">Wintrup J, Kelly Wakefield K &amp; Hugh Davis H (2015) Engaged learning in MOOCs: A study using the UK Engagement Survey, Retrieved from </w:t>
                      </w:r>
                      <w:hyperlink r:id="rId27" w:history="1">
                        <w:r w:rsidRPr="00E66264">
                          <w:rPr>
                            <w:rFonts w:ascii="Minion Pro" w:hAnsi="Minion Pro"/>
                            <w:color w:val="76923C" w:themeColor="accent3" w:themeShade="BF"/>
                            <w:sz w:val="18"/>
                            <w:szCs w:val="18"/>
                          </w:rPr>
                          <w:t>https://www.heacademy.ac.uk/node/10346</w:t>
                        </w:r>
                      </w:hyperlink>
                      <w:r w:rsidRPr="00E66264">
                        <w:rPr>
                          <w:rFonts w:ascii="Minion Pro" w:hAnsi="Minion Pro"/>
                          <w:color w:val="76923C" w:themeColor="accent3" w:themeShade="BF"/>
                          <w:sz w:val="18"/>
                          <w:szCs w:val="18"/>
                        </w:rPr>
                        <w:t xml:space="preserve"> </w:t>
                      </w:r>
                    </w:p>
                    <w:p w14:paraId="4AB721FC" w14:textId="77777777" w:rsidR="00E66264" w:rsidRPr="00E66264" w:rsidRDefault="00E66264" w:rsidP="00AE3B02">
                      <w:pPr>
                        <w:jc w:val="center"/>
                        <w:rPr>
                          <w:rFonts w:ascii="Minion Pro" w:hAnsi="Minion Pro"/>
                          <w:color w:val="76923C" w:themeColor="accent3" w:themeShade="BF"/>
                          <w:sz w:val="18"/>
                          <w:szCs w:val="18"/>
                        </w:rPr>
                      </w:pPr>
                    </w:p>
                  </w:txbxContent>
                </v:textbox>
                <w10:wrap type="square"/>
              </v:rect>
            </w:pict>
          </mc:Fallback>
        </mc:AlternateContent>
      </w:r>
    </w:p>
    <w:p w14:paraId="5501B78B" w14:textId="782549CB" w:rsidR="00155BC2" w:rsidRPr="00E66264" w:rsidRDefault="00155BC2" w:rsidP="00E66264">
      <w:pPr>
        <w:rPr>
          <w:rFonts w:ascii="Minion Pro" w:hAnsi="Minion Pro"/>
          <w:b/>
          <w:color w:val="76923C" w:themeColor="accent3" w:themeShade="BF"/>
          <w:sz w:val="44"/>
          <w:szCs w:val="44"/>
        </w:rPr>
      </w:pPr>
      <w:r w:rsidRPr="00E66264">
        <w:rPr>
          <w:rFonts w:ascii="Minion Pro" w:hAnsi="Minion Pro"/>
          <w:b/>
          <w:color w:val="76923C" w:themeColor="accent3" w:themeShade="BF"/>
          <w:sz w:val="44"/>
          <w:szCs w:val="44"/>
        </w:rPr>
        <w:t>Caveats and concerns</w:t>
      </w:r>
    </w:p>
    <w:p w14:paraId="3DEB309B" w14:textId="0A011A5E" w:rsidR="00155BC2" w:rsidRPr="00B91ED7" w:rsidRDefault="00155BC2" w:rsidP="00A94492">
      <w:pPr>
        <w:spacing w:line="360" w:lineRule="auto"/>
        <w:jc w:val="both"/>
        <w:rPr>
          <w:rFonts w:ascii="Minion Pro" w:hAnsi="Minion Pro"/>
        </w:rPr>
      </w:pPr>
      <w:r w:rsidRPr="00B91ED7">
        <w:rPr>
          <w:rFonts w:ascii="Minion Pro" w:hAnsi="Minion Pro"/>
        </w:rPr>
        <w:t>There are several concerns about MOOCs, most of which have been alluded to. In short, the issues that may be of concern include:</w:t>
      </w:r>
    </w:p>
    <w:p w14:paraId="02B46D60" w14:textId="77777777" w:rsidR="00155BC2" w:rsidRPr="00B91ED7" w:rsidRDefault="00155BC2" w:rsidP="00A94492">
      <w:pPr>
        <w:pStyle w:val="ListParagraph"/>
        <w:numPr>
          <w:ilvl w:val="0"/>
          <w:numId w:val="5"/>
        </w:numPr>
        <w:spacing w:line="360" w:lineRule="auto"/>
        <w:jc w:val="both"/>
        <w:rPr>
          <w:rFonts w:ascii="Minion Pro" w:hAnsi="Minion Pro"/>
        </w:rPr>
      </w:pPr>
      <w:r w:rsidRPr="00924067">
        <w:rPr>
          <w:rFonts w:ascii="Minion Pro" w:hAnsi="Minion Pro"/>
          <w:b/>
        </w:rPr>
        <w:t>Forms of certification:</w:t>
      </w:r>
      <w:r w:rsidRPr="00B91ED7">
        <w:rPr>
          <w:rFonts w:ascii="Minion Pro" w:hAnsi="Minion Pro"/>
        </w:rPr>
        <w:t xml:space="preserve"> For some, lack of certification or the emergent nature of new forms of certification may be a concern.</w:t>
      </w:r>
    </w:p>
    <w:p w14:paraId="5ED49ECA" w14:textId="58CFBC6D" w:rsidR="00155BC2" w:rsidRPr="00B91ED7" w:rsidRDefault="00155BC2" w:rsidP="00A94492">
      <w:pPr>
        <w:pStyle w:val="ListParagraph"/>
        <w:numPr>
          <w:ilvl w:val="0"/>
          <w:numId w:val="5"/>
        </w:numPr>
        <w:spacing w:line="360" w:lineRule="auto"/>
        <w:jc w:val="both"/>
        <w:rPr>
          <w:rFonts w:ascii="Minion Pro" w:hAnsi="Minion Pro"/>
        </w:rPr>
      </w:pPr>
      <w:r w:rsidRPr="00924067">
        <w:rPr>
          <w:rFonts w:ascii="Minion Pro" w:hAnsi="Minion Pro"/>
          <w:b/>
        </w:rPr>
        <w:t>Digital and critical literacies:</w:t>
      </w:r>
      <w:r w:rsidRPr="00B91ED7">
        <w:rPr>
          <w:rFonts w:ascii="Minion Pro" w:hAnsi="Minion Pro"/>
        </w:rPr>
        <w:t xml:space="preserve"> Research has shown that participating in MOOCs requires critical and digital literacies, that is, skills and competences to thrive and learn in a digital environment</w:t>
      </w:r>
      <w:r w:rsidR="00625D6A">
        <w:rPr>
          <w:rFonts w:ascii="Minion Pro" w:hAnsi="Minion Pro"/>
        </w:rPr>
        <w:t xml:space="preserve"> </w:t>
      </w:r>
      <w:r w:rsidR="00625D6A" w:rsidRPr="00625D6A">
        <w:rPr>
          <w:rFonts w:ascii="Minion Pro" w:hAnsi="Minion Pro"/>
          <w:vertAlign w:val="superscript"/>
        </w:rPr>
        <w:t>7</w:t>
      </w:r>
      <w:r w:rsidRPr="00B91ED7">
        <w:rPr>
          <w:rFonts w:ascii="Minion Pro" w:hAnsi="Minion Pro"/>
        </w:rPr>
        <w:t>.</w:t>
      </w:r>
    </w:p>
    <w:p w14:paraId="1DDC9DF4" w14:textId="21090F1F" w:rsidR="00155BC2" w:rsidRPr="00B91ED7" w:rsidRDefault="00155BC2" w:rsidP="00A94492">
      <w:pPr>
        <w:pStyle w:val="ListParagraph"/>
        <w:numPr>
          <w:ilvl w:val="0"/>
          <w:numId w:val="5"/>
        </w:numPr>
        <w:spacing w:line="360" w:lineRule="auto"/>
        <w:jc w:val="both"/>
        <w:rPr>
          <w:rFonts w:ascii="Minion Pro" w:hAnsi="Minion Pro"/>
        </w:rPr>
      </w:pPr>
      <w:r w:rsidRPr="00924067">
        <w:rPr>
          <w:rFonts w:ascii="Minion Pro" w:hAnsi="Minion Pro"/>
          <w:b/>
        </w:rPr>
        <w:t>Connectivity:</w:t>
      </w:r>
      <w:r w:rsidRPr="00B91ED7">
        <w:rPr>
          <w:rFonts w:ascii="Minion Pro" w:hAnsi="Minion Pro"/>
        </w:rPr>
        <w:t xml:space="preserve"> Most MOOCs include video, and assume good, reasonably priced connectivity and bandwidth, thus limiting participation for many South Africans, especially those in rural areas and away from formal institutions. </w:t>
      </w:r>
    </w:p>
    <w:p w14:paraId="33A459B5" w14:textId="77777777" w:rsidR="00155BC2" w:rsidRPr="00924067" w:rsidRDefault="00155BC2" w:rsidP="00A94492">
      <w:pPr>
        <w:pStyle w:val="ListParagraph"/>
        <w:numPr>
          <w:ilvl w:val="0"/>
          <w:numId w:val="5"/>
        </w:numPr>
        <w:spacing w:line="360" w:lineRule="auto"/>
        <w:jc w:val="both"/>
        <w:rPr>
          <w:rFonts w:ascii="Minion Pro" w:hAnsi="Minion Pro"/>
        </w:rPr>
      </w:pPr>
      <w:r w:rsidRPr="00924067">
        <w:rPr>
          <w:rFonts w:ascii="Minion Pro" w:hAnsi="Minion Pro"/>
          <w:b/>
        </w:rPr>
        <w:t>Language:</w:t>
      </w:r>
      <w:r w:rsidRPr="00924067">
        <w:rPr>
          <w:rFonts w:ascii="Minion Pro" w:hAnsi="Minion Pro"/>
        </w:rPr>
        <w:t xml:space="preserve"> MOOCs are delivered primarily in English, although globally language-specific platforms are emerging, especially in European languages (Spanish and French). </w:t>
      </w:r>
    </w:p>
    <w:p w14:paraId="431233D8" w14:textId="77777777" w:rsidR="003B2FC4" w:rsidRPr="003B2FC4" w:rsidRDefault="00155BC2" w:rsidP="00A94492">
      <w:pPr>
        <w:pStyle w:val="ListParagraph"/>
        <w:numPr>
          <w:ilvl w:val="0"/>
          <w:numId w:val="5"/>
        </w:numPr>
        <w:spacing w:line="360" w:lineRule="auto"/>
        <w:jc w:val="both"/>
        <w:rPr>
          <w:rFonts w:ascii="Minion Pro" w:hAnsi="Minion Pro"/>
        </w:rPr>
      </w:pPr>
      <w:r w:rsidRPr="00924067">
        <w:rPr>
          <w:rFonts w:ascii="Minion Pro" w:hAnsi="Minion Pro"/>
          <w:b/>
        </w:rPr>
        <w:t>Copyright:</w:t>
      </w:r>
      <w:r w:rsidRPr="00924067">
        <w:rPr>
          <w:rFonts w:ascii="Minion Pro" w:hAnsi="Minion Pro"/>
        </w:rPr>
        <w:t xml:space="preserve"> MOOCs and other online courses change the rules of engaging with copyright in numerous ways (the student body extends beyond the university, user content is generated etc.). It is a more complex intellectual property environment.</w:t>
      </w:r>
      <w:bookmarkStart w:id="6" w:name="h.j3tjioqckgxi" w:colFirst="0" w:colLast="0"/>
      <w:bookmarkEnd w:id="6"/>
    </w:p>
    <w:p w14:paraId="0761BA07" w14:textId="77777777" w:rsidR="00A94492" w:rsidRPr="00A94492" w:rsidRDefault="00A94492" w:rsidP="00A94492"/>
    <w:p w14:paraId="5670CF40" w14:textId="77777777" w:rsidR="00155BC2" w:rsidRPr="00B91ED7" w:rsidRDefault="00155BC2" w:rsidP="00B91ED7">
      <w:pPr>
        <w:pStyle w:val="Title"/>
        <w:spacing w:line="360" w:lineRule="auto"/>
        <w:contextualSpacing w:val="0"/>
        <w:rPr>
          <w:rFonts w:ascii="Eurostile" w:hAnsi="Eurostile"/>
          <w:b/>
          <w:color w:val="76923C" w:themeColor="accent3" w:themeShade="BF"/>
          <w:sz w:val="44"/>
          <w:szCs w:val="44"/>
        </w:rPr>
      </w:pPr>
      <w:r w:rsidRPr="00E66264">
        <w:rPr>
          <w:rFonts w:ascii="Minion Pro" w:eastAsia="Arial" w:hAnsi="Minion Pro" w:cs="Arial"/>
          <w:b/>
          <w:color w:val="76923C" w:themeColor="accent3" w:themeShade="BF"/>
          <w:sz w:val="44"/>
          <w:szCs w:val="44"/>
        </w:rPr>
        <w:t>Recommendations</w:t>
      </w:r>
    </w:p>
    <w:p w14:paraId="40CBAC2E" w14:textId="77777777" w:rsidR="00924067" w:rsidRDefault="00155BC2" w:rsidP="00A94492">
      <w:pPr>
        <w:pStyle w:val="ListParagraph"/>
        <w:numPr>
          <w:ilvl w:val="0"/>
          <w:numId w:val="8"/>
        </w:numPr>
        <w:spacing w:after="100" w:line="360" w:lineRule="auto"/>
        <w:jc w:val="both"/>
        <w:rPr>
          <w:rFonts w:ascii="Minion Pro" w:hAnsi="Minion Pro"/>
          <w:szCs w:val="22"/>
        </w:rPr>
      </w:pPr>
      <w:r w:rsidRPr="00924067">
        <w:rPr>
          <w:rFonts w:ascii="Minion Pro" w:hAnsi="Minion Pro"/>
          <w:b/>
          <w:szCs w:val="22"/>
        </w:rPr>
        <w:t>MOOCs watching:</w:t>
      </w:r>
      <w:r w:rsidRPr="00924067">
        <w:rPr>
          <w:rFonts w:ascii="Minion Pro" w:hAnsi="Minion Pro"/>
          <w:szCs w:val="22"/>
        </w:rPr>
        <w:t xml:space="preserve"> MOOCs in their present form are morphing into a variety of formats and models as purposes and possibilities become clearer and their place in the online landscape solidifies. It is essential that institutions remain alert to these ongoing changes and interpret them in the light of local conditions.</w:t>
      </w:r>
    </w:p>
    <w:p w14:paraId="60994A0F" w14:textId="77777777" w:rsidR="00924067" w:rsidRDefault="00155BC2" w:rsidP="00A94492">
      <w:pPr>
        <w:pStyle w:val="ListParagraph"/>
        <w:numPr>
          <w:ilvl w:val="0"/>
          <w:numId w:val="8"/>
        </w:numPr>
        <w:spacing w:after="100" w:line="360" w:lineRule="auto"/>
        <w:jc w:val="both"/>
        <w:rPr>
          <w:rFonts w:ascii="Minion Pro" w:hAnsi="Minion Pro"/>
          <w:szCs w:val="22"/>
        </w:rPr>
      </w:pPr>
      <w:r w:rsidRPr="00924067">
        <w:rPr>
          <w:rFonts w:ascii="Minion Pro" w:hAnsi="Minion Pro"/>
          <w:b/>
          <w:szCs w:val="22"/>
        </w:rPr>
        <w:t>Collaboration:</w:t>
      </w:r>
      <w:r w:rsidRPr="00924067">
        <w:rPr>
          <w:rFonts w:ascii="Minion Pro" w:hAnsi="Minion Pro"/>
          <w:szCs w:val="22"/>
        </w:rPr>
        <w:t xml:space="preserve"> Given how expensive MOOCs can be to produce, institutions should identity areas of mutual interest in the South African context and work together to develop them. Gateway MOOCs and post-graduate literacies are immediate possibilities, but there are others.</w:t>
      </w:r>
    </w:p>
    <w:p w14:paraId="73BB0A1F" w14:textId="77777777" w:rsidR="00924067" w:rsidRDefault="00155BC2" w:rsidP="00A94492">
      <w:pPr>
        <w:pStyle w:val="ListParagraph"/>
        <w:numPr>
          <w:ilvl w:val="0"/>
          <w:numId w:val="8"/>
        </w:numPr>
        <w:spacing w:after="100" w:line="360" w:lineRule="auto"/>
        <w:jc w:val="both"/>
        <w:rPr>
          <w:rFonts w:ascii="Minion Pro" w:hAnsi="Minion Pro"/>
          <w:szCs w:val="22"/>
        </w:rPr>
      </w:pPr>
      <w:r w:rsidRPr="00924067">
        <w:rPr>
          <w:rFonts w:ascii="Minion Pro" w:hAnsi="Minion Pro"/>
          <w:b/>
          <w:szCs w:val="22"/>
        </w:rPr>
        <w:t>Mind the copyright:</w:t>
      </w:r>
      <w:r w:rsidRPr="00924067">
        <w:rPr>
          <w:rFonts w:ascii="Minion Pro" w:hAnsi="Minion Pro"/>
          <w:szCs w:val="22"/>
        </w:rPr>
        <w:t xml:space="preserve"> Institutions need to increase their capacity in dealing with copyright issues, both as users and as developers.</w:t>
      </w:r>
    </w:p>
    <w:p w14:paraId="69803DF2" w14:textId="77777777" w:rsidR="00924067" w:rsidRDefault="00155BC2" w:rsidP="00A94492">
      <w:pPr>
        <w:pStyle w:val="ListParagraph"/>
        <w:numPr>
          <w:ilvl w:val="0"/>
          <w:numId w:val="8"/>
        </w:numPr>
        <w:spacing w:after="100" w:line="360" w:lineRule="auto"/>
        <w:jc w:val="both"/>
        <w:rPr>
          <w:rFonts w:ascii="Minion Pro" w:hAnsi="Minion Pro"/>
          <w:szCs w:val="22"/>
        </w:rPr>
      </w:pPr>
      <w:r w:rsidRPr="00924067">
        <w:rPr>
          <w:rFonts w:ascii="Minion Pro" w:hAnsi="Minion Pro"/>
          <w:b/>
          <w:szCs w:val="22"/>
        </w:rPr>
        <w:t>Experiment:</w:t>
      </w:r>
      <w:r w:rsidRPr="00924067">
        <w:rPr>
          <w:rFonts w:ascii="Minion Pro" w:hAnsi="Minion Pro"/>
          <w:szCs w:val="22"/>
        </w:rPr>
        <w:t xml:space="preserve"> New forms of online education, including MOOCs, are the way of the future. Institutions should experiment with possibilities that suit their own conditions and needs. These may be low key and relatively inexpensive; they do not always need to be high-tech solutions. </w:t>
      </w:r>
    </w:p>
    <w:p w14:paraId="77D56253" w14:textId="77777777" w:rsidR="00155BC2" w:rsidRPr="00924067" w:rsidRDefault="00155BC2" w:rsidP="00A94492">
      <w:pPr>
        <w:pStyle w:val="ListParagraph"/>
        <w:numPr>
          <w:ilvl w:val="0"/>
          <w:numId w:val="8"/>
        </w:numPr>
        <w:spacing w:after="100" w:line="360" w:lineRule="auto"/>
        <w:jc w:val="both"/>
        <w:rPr>
          <w:rFonts w:ascii="Minion Pro" w:hAnsi="Minion Pro"/>
          <w:szCs w:val="22"/>
        </w:rPr>
      </w:pPr>
      <w:r w:rsidRPr="00924067">
        <w:rPr>
          <w:rFonts w:ascii="Minion Pro" w:hAnsi="Minion Pro"/>
          <w:b/>
          <w:szCs w:val="22"/>
        </w:rPr>
        <w:t>The last word</w:t>
      </w:r>
      <w:r w:rsidRPr="00924067">
        <w:rPr>
          <w:rFonts w:ascii="Minion Pro" w:hAnsi="Minion Pro"/>
          <w:szCs w:val="22"/>
        </w:rPr>
        <w:t xml:space="preserve"> </w:t>
      </w:r>
      <w:r w:rsidRPr="00924067">
        <w:rPr>
          <w:rFonts w:ascii="Minion Pro" w:hAnsi="Minion Pro"/>
          <w:b/>
          <w:szCs w:val="22"/>
        </w:rPr>
        <w:t>– create!</w:t>
      </w:r>
      <w:r w:rsidRPr="00924067">
        <w:rPr>
          <w:rFonts w:ascii="Minion Pro" w:hAnsi="Minion Pro"/>
          <w:szCs w:val="22"/>
        </w:rPr>
        <w:t xml:space="preserve"> It is important for local universities to participate as producers, not simply as consumers of MOOCs from elsewhere. </w:t>
      </w:r>
    </w:p>
    <w:p w14:paraId="5029FC31" w14:textId="77777777" w:rsidR="00E902EA" w:rsidRPr="00E902EA" w:rsidRDefault="00E902EA" w:rsidP="00E902EA">
      <w:pPr>
        <w:spacing w:line="360" w:lineRule="auto"/>
        <w:jc w:val="both"/>
        <w:rPr>
          <w:rFonts w:ascii="Minion Pro" w:hAnsi="Minion Pro"/>
          <w:szCs w:val="22"/>
        </w:rPr>
      </w:pPr>
    </w:p>
    <w:p w14:paraId="75BCCF52" w14:textId="77777777" w:rsidR="00AE3B02" w:rsidRPr="007E1CE7" w:rsidRDefault="00AE3B02" w:rsidP="00AE3B02">
      <w:pPr>
        <w:rPr>
          <w:rFonts w:ascii="Minion Pro" w:hAnsi="Minion Pro"/>
          <w:sz w:val="28"/>
        </w:rPr>
      </w:pPr>
      <w:r w:rsidRPr="007E1CE7">
        <w:rPr>
          <w:rFonts w:ascii="Minion Pro" w:hAnsi="Minion Pro"/>
          <w:sz w:val="32"/>
        </w:rPr>
        <w:t>References</w:t>
      </w:r>
    </w:p>
    <w:p w14:paraId="676A6FBA" w14:textId="77777777" w:rsidR="007E1CE7" w:rsidRDefault="007E1CE7" w:rsidP="00AE3B02">
      <w:pPr>
        <w:spacing w:line="240" w:lineRule="auto"/>
        <w:rPr>
          <w:rFonts w:ascii="Minion Pro" w:hAnsi="Minion Pro"/>
          <w:sz w:val="18"/>
        </w:rPr>
      </w:pPr>
    </w:p>
    <w:p w14:paraId="794D24FC" w14:textId="77777777" w:rsidR="003B2FC4" w:rsidRDefault="003B2FC4" w:rsidP="00AE3B02">
      <w:pPr>
        <w:spacing w:line="240" w:lineRule="auto"/>
        <w:rPr>
          <w:rFonts w:ascii="Minion Pro" w:hAnsi="Minion Pro"/>
          <w:sz w:val="18"/>
        </w:rPr>
        <w:sectPr w:rsidR="003B2FC4" w:rsidSect="00A94492">
          <w:headerReference w:type="default" r:id="rId28"/>
          <w:footerReference w:type="even" r:id="rId29"/>
          <w:footerReference w:type="default" r:id="rId30"/>
          <w:headerReference w:type="first" r:id="rId31"/>
          <w:pgSz w:w="11900" w:h="16840"/>
          <w:pgMar w:top="1276" w:right="1127" w:bottom="1440" w:left="1800" w:header="708" w:footer="708" w:gutter="0"/>
          <w:cols w:space="708"/>
          <w:titlePg/>
          <w:docGrid w:linePitch="360"/>
        </w:sectPr>
      </w:pPr>
    </w:p>
    <w:p w14:paraId="1F90BF66" w14:textId="77777777" w:rsidR="00625D6A" w:rsidRPr="00E97EDC" w:rsidRDefault="00AE3B02" w:rsidP="003B2FC4">
      <w:pPr>
        <w:spacing w:line="360" w:lineRule="auto"/>
        <w:rPr>
          <w:rFonts w:ascii="Minion Pro" w:hAnsi="Minion Pro"/>
          <w:sz w:val="20"/>
        </w:rPr>
      </w:pPr>
      <w:r w:rsidRPr="00E97EDC">
        <w:rPr>
          <w:rFonts w:ascii="Minion Pro" w:hAnsi="Minion Pro"/>
          <w:sz w:val="20"/>
        </w:rPr>
        <w:footnoteRef/>
      </w:r>
      <w:r w:rsidRPr="00E97EDC">
        <w:rPr>
          <w:rFonts w:ascii="Minion Pro" w:hAnsi="Minion Pro"/>
          <w:sz w:val="20"/>
        </w:rPr>
        <w:t xml:space="preserve"> </w:t>
      </w:r>
      <w:r w:rsidR="00625D6A" w:rsidRPr="00E97EDC">
        <w:rPr>
          <w:rFonts w:ascii="Minion Pro" w:eastAsia="Times New Roman" w:hAnsi="Minion Pro" w:cs="Times New Roman"/>
          <w:sz w:val="20"/>
        </w:rPr>
        <w:t xml:space="preserve">See </w:t>
      </w:r>
      <w:r w:rsidR="00527666">
        <w:fldChar w:fldCharType="begin"/>
      </w:r>
      <w:r w:rsidR="00527666">
        <w:instrText xml:space="preserve"> HYPERLINK "http://www.katyjordan.com/MOOCproject.html" </w:instrText>
      </w:r>
      <w:r w:rsidR="00527666">
        <w:fldChar w:fldCharType="separate"/>
      </w:r>
      <w:r w:rsidR="00625D6A" w:rsidRPr="00E97EDC">
        <w:rPr>
          <w:rStyle w:val="Hyperlink"/>
          <w:rFonts w:ascii="Minion Pro" w:eastAsia="Times New Roman" w:hAnsi="Minion Pro" w:cs="Times New Roman"/>
          <w:sz w:val="20"/>
        </w:rPr>
        <w:t>http://www.katyjordan.com/MOOCproject.html</w:t>
      </w:r>
      <w:r w:rsidR="00527666">
        <w:rPr>
          <w:rStyle w:val="Hyperlink"/>
          <w:rFonts w:ascii="Minion Pro" w:eastAsia="Times New Roman" w:hAnsi="Minion Pro" w:cs="Times New Roman"/>
          <w:sz w:val="20"/>
        </w:rPr>
        <w:fldChar w:fldCharType="end"/>
      </w:r>
      <w:r w:rsidR="00625D6A" w:rsidRPr="00E97EDC">
        <w:rPr>
          <w:rFonts w:ascii="Minion Pro" w:hAnsi="Minion Pro"/>
          <w:sz w:val="20"/>
        </w:rPr>
        <w:t xml:space="preserve"> </w:t>
      </w:r>
    </w:p>
    <w:p w14:paraId="3C074C7C" w14:textId="56E18DDD" w:rsidR="00E97EDC" w:rsidRDefault="00625D6A" w:rsidP="003B2FC4">
      <w:pPr>
        <w:spacing w:line="360" w:lineRule="auto"/>
        <w:rPr>
          <w:rFonts w:ascii="Minion Pro" w:hAnsi="Minion Pro"/>
          <w:sz w:val="20"/>
        </w:rPr>
      </w:pPr>
      <w:r w:rsidRPr="00E97EDC">
        <w:rPr>
          <w:rFonts w:ascii="Minion Pro" w:hAnsi="Minion Pro"/>
          <w:sz w:val="20"/>
        </w:rPr>
        <w:t xml:space="preserve">2  </w:t>
      </w:r>
      <w:r w:rsidR="00527666">
        <w:fldChar w:fldCharType="begin"/>
      </w:r>
      <w:r w:rsidR="00527666">
        <w:instrText xml:space="preserve"> HYPERLINK "https://www.class-central.com/report/moocs-stats-and-trends-2014/" </w:instrText>
      </w:r>
      <w:r w:rsidR="00527666">
        <w:fldChar w:fldCharType="separate"/>
      </w:r>
      <w:r w:rsidRPr="00E97EDC">
        <w:rPr>
          <w:rStyle w:val="Hyperlink"/>
          <w:rFonts w:ascii="Minion Pro" w:hAnsi="Minion Pro"/>
          <w:sz w:val="20"/>
        </w:rPr>
        <w:t>https://www.class-central.com/report/moocs-stats-and-trends-2014/</w:t>
      </w:r>
      <w:r w:rsidR="00527666">
        <w:rPr>
          <w:rStyle w:val="Hyperlink"/>
          <w:rFonts w:ascii="Minion Pro" w:hAnsi="Minion Pro"/>
          <w:sz w:val="20"/>
        </w:rPr>
        <w:fldChar w:fldCharType="end"/>
      </w:r>
    </w:p>
    <w:p w14:paraId="46B803E6" w14:textId="77777777" w:rsidR="00625D6A" w:rsidRPr="00E97EDC" w:rsidRDefault="00625D6A" w:rsidP="003B2FC4">
      <w:pPr>
        <w:spacing w:line="360" w:lineRule="auto"/>
        <w:rPr>
          <w:rFonts w:ascii="Minion Pro" w:hAnsi="Minion Pro"/>
          <w:sz w:val="20"/>
        </w:rPr>
      </w:pPr>
      <w:r w:rsidRPr="00E97EDC">
        <w:rPr>
          <w:rFonts w:ascii="Minion Pro" w:hAnsi="Minion Pro"/>
          <w:sz w:val="20"/>
        </w:rPr>
        <w:t xml:space="preserve">3  </w:t>
      </w:r>
      <w:r w:rsidR="00527666">
        <w:fldChar w:fldCharType="begin"/>
      </w:r>
      <w:r w:rsidR="00527666">
        <w:instrText xml:space="preserve"> HYPERLINK "https://www.class-central.com/report/moocs-stats-and-trends-2014/" </w:instrText>
      </w:r>
      <w:r w:rsidR="00527666">
        <w:fldChar w:fldCharType="separate"/>
      </w:r>
      <w:r w:rsidRPr="00E97EDC">
        <w:rPr>
          <w:rStyle w:val="Hyperlink"/>
          <w:rFonts w:ascii="Minion Pro" w:hAnsi="Minion Pro"/>
          <w:sz w:val="20"/>
        </w:rPr>
        <w:t>https://www.class-central.com/report/moocs-stats-and-trends-2014/</w:t>
      </w:r>
      <w:r w:rsidR="00527666">
        <w:rPr>
          <w:rStyle w:val="Hyperlink"/>
          <w:rFonts w:ascii="Minion Pro" w:hAnsi="Minion Pro"/>
          <w:sz w:val="20"/>
        </w:rPr>
        <w:fldChar w:fldCharType="end"/>
      </w:r>
      <w:r w:rsidRPr="00E97EDC">
        <w:rPr>
          <w:rFonts w:ascii="Minion Pro" w:hAnsi="Minion Pro"/>
          <w:sz w:val="20"/>
        </w:rPr>
        <w:t xml:space="preserve"> </w:t>
      </w:r>
    </w:p>
    <w:p w14:paraId="1C7A743C" w14:textId="77777777" w:rsidR="00625D6A" w:rsidRPr="00E97EDC" w:rsidRDefault="00625D6A" w:rsidP="003B2FC4">
      <w:pPr>
        <w:spacing w:line="360" w:lineRule="auto"/>
        <w:rPr>
          <w:rFonts w:ascii="Minion Pro" w:hAnsi="Minion Pro"/>
          <w:sz w:val="20"/>
        </w:rPr>
      </w:pPr>
      <w:r w:rsidRPr="00E97EDC">
        <w:rPr>
          <w:rFonts w:ascii="Minion Pro" w:hAnsi="Minion Pro"/>
          <w:sz w:val="20"/>
        </w:rPr>
        <w:t xml:space="preserve">4  See </w:t>
      </w:r>
      <w:r w:rsidR="00527666">
        <w:fldChar w:fldCharType="begin"/>
      </w:r>
      <w:r w:rsidR="00527666">
        <w:instrText xml:space="preserve"> HYPERLINK "https://shanaligovender.wordpress.com/2014/10/02/seminar-wrapping-moocs-for-students-in-the-global-south-last-day-unleashing-the-power-of-online-networks-for-elearning-in-africa/" </w:instrText>
      </w:r>
      <w:r w:rsidR="00527666">
        <w:fldChar w:fldCharType="separate"/>
      </w:r>
      <w:r w:rsidRPr="00E97EDC">
        <w:rPr>
          <w:rStyle w:val="Hyperlink"/>
          <w:rFonts w:ascii="Minion Pro" w:hAnsi="Minion Pro"/>
          <w:sz w:val="20"/>
        </w:rPr>
        <w:t>https://shanaligovender.wordpress.com/2014/10/02/seminar-wrapping-moocs-for-students-in-the-global-south-last-day-unleashing-the-power-of-online-networks-for-elearning-in-africa/</w:t>
      </w:r>
      <w:r w:rsidR="00527666">
        <w:rPr>
          <w:rStyle w:val="Hyperlink"/>
          <w:rFonts w:ascii="Minion Pro" w:hAnsi="Minion Pro"/>
          <w:sz w:val="20"/>
        </w:rPr>
        <w:fldChar w:fldCharType="end"/>
      </w:r>
      <w:r w:rsidRPr="00E97EDC">
        <w:rPr>
          <w:rFonts w:ascii="Minion Pro" w:hAnsi="Minion Pro"/>
          <w:sz w:val="20"/>
        </w:rPr>
        <w:t xml:space="preserve"> for an elaboration of this point.</w:t>
      </w:r>
    </w:p>
    <w:p w14:paraId="136A31BB" w14:textId="260C32A0" w:rsidR="00E97EDC" w:rsidRPr="00E97EDC" w:rsidRDefault="00625D6A" w:rsidP="003B2FC4">
      <w:pPr>
        <w:spacing w:line="360" w:lineRule="auto"/>
        <w:rPr>
          <w:rFonts w:ascii="Minion Pro" w:hAnsi="Minion Pro"/>
          <w:sz w:val="20"/>
        </w:rPr>
      </w:pPr>
      <w:r w:rsidRPr="00E97EDC">
        <w:rPr>
          <w:rFonts w:ascii="Minion Pro" w:hAnsi="Minion Pro"/>
          <w:sz w:val="20"/>
        </w:rPr>
        <w:t xml:space="preserve">5  </w:t>
      </w:r>
      <w:r w:rsidRPr="00E97EDC">
        <w:rPr>
          <w:rFonts w:ascii="Minion Pro" w:eastAsia="Times New Roman" w:hAnsi="Minion Pro" w:cs="Times New Roman"/>
          <w:sz w:val="20"/>
        </w:rPr>
        <w:t>Hollands</w:t>
      </w:r>
      <w:r w:rsidRPr="00E97EDC">
        <w:rPr>
          <w:rFonts w:ascii="Minion Pro" w:hAnsi="Minion Pro"/>
          <w:sz w:val="20"/>
        </w:rPr>
        <w:t xml:space="preserve"> </w:t>
      </w:r>
      <w:r w:rsidRPr="00E97EDC">
        <w:rPr>
          <w:rFonts w:ascii="Minion Pro" w:eastAsia="Times New Roman" w:hAnsi="Minion Pro" w:cs="Times New Roman"/>
          <w:sz w:val="20"/>
        </w:rPr>
        <w:t>FM</w:t>
      </w:r>
      <w:r w:rsidRPr="00E97EDC">
        <w:rPr>
          <w:rFonts w:ascii="Minion Pro" w:hAnsi="Minion Pro"/>
          <w:sz w:val="20"/>
        </w:rPr>
        <w:t xml:space="preserve"> &amp; Tirthali D (2014) </w:t>
      </w:r>
      <w:r w:rsidRPr="00E97EDC">
        <w:rPr>
          <w:rFonts w:ascii="Minion Pro" w:hAnsi="Minion Pro"/>
          <w:i/>
          <w:sz w:val="20"/>
        </w:rPr>
        <w:t>MOOCs: Expectations and Reality</w:t>
      </w:r>
      <w:r w:rsidRPr="00E97EDC">
        <w:rPr>
          <w:rFonts w:ascii="Minion Pro" w:hAnsi="Minion Pro"/>
          <w:sz w:val="20"/>
        </w:rPr>
        <w:t>. Center for Benefit-Cost Studies of Education, Teachers College, Columbia University. p. 138</w:t>
      </w:r>
    </w:p>
    <w:p w14:paraId="6C02A1D5" w14:textId="3CFEE7B6" w:rsidR="00E97EDC" w:rsidRPr="00E97EDC" w:rsidRDefault="00625D6A" w:rsidP="003B2FC4">
      <w:pPr>
        <w:spacing w:line="360" w:lineRule="auto"/>
        <w:rPr>
          <w:rFonts w:ascii="Minion Pro" w:eastAsia="Times New Roman" w:hAnsi="Minion Pro" w:cs="Times New Roman"/>
          <w:sz w:val="20"/>
        </w:rPr>
      </w:pPr>
      <w:r w:rsidRPr="00E97EDC">
        <w:rPr>
          <w:rFonts w:ascii="Minion Pro" w:hAnsi="Minion Pro"/>
          <w:sz w:val="20"/>
        </w:rPr>
        <w:t xml:space="preserve">6  </w:t>
      </w:r>
      <w:r w:rsidRPr="00E97EDC">
        <w:rPr>
          <w:rFonts w:ascii="Minion Pro" w:eastAsia="Times New Roman" w:hAnsi="Minion Pro" w:cs="Times New Roman"/>
          <w:sz w:val="20"/>
        </w:rPr>
        <w:t xml:space="preserve">Hollands FM &amp; Tirthali D (2014) MOOCs: </w:t>
      </w:r>
      <w:r w:rsidRPr="00E97EDC">
        <w:rPr>
          <w:rFonts w:ascii="Minion Pro" w:eastAsia="Times New Roman" w:hAnsi="Minion Pro" w:cs="Times New Roman"/>
          <w:i/>
          <w:sz w:val="20"/>
        </w:rPr>
        <w:t>Expectations and Reality.</w:t>
      </w:r>
      <w:r w:rsidRPr="00E97EDC">
        <w:rPr>
          <w:rFonts w:ascii="Minion Pro" w:eastAsia="Times New Roman" w:hAnsi="Minion Pro" w:cs="Times New Roman"/>
          <w:sz w:val="20"/>
        </w:rPr>
        <w:t xml:space="preserve"> Center for Benefit-Cost Studies of Education, Teachers College, Columbia University</w:t>
      </w:r>
    </w:p>
    <w:p w14:paraId="6EA9189A" w14:textId="5C891EA9" w:rsidR="003B2FC4" w:rsidRPr="00E97EDC" w:rsidRDefault="00625D6A" w:rsidP="00E97EDC">
      <w:pPr>
        <w:spacing w:line="360" w:lineRule="auto"/>
        <w:rPr>
          <w:rFonts w:ascii="Minion Pro" w:eastAsia="Times New Roman" w:hAnsi="Minion Pro" w:cs="Times New Roman"/>
          <w:sz w:val="20"/>
        </w:rPr>
        <w:sectPr w:rsidR="003B2FC4" w:rsidRPr="00E97EDC" w:rsidSect="00A94492">
          <w:type w:val="continuous"/>
          <w:pgSz w:w="11900" w:h="16840"/>
          <w:pgMar w:top="851" w:right="1127" w:bottom="1440" w:left="1800" w:header="708" w:footer="708" w:gutter="0"/>
          <w:cols w:num="2" w:space="708"/>
          <w:titlePg/>
          <w:docGrid w:linePitch="360"/>
        </w:sectPr>
      </w:pPr>
      <w:r w:rsidRPr="00E97EDC">
        <w:rPr>
          <w:rFonts w:ascii="Minion Pro" w:hAnsi="Minion Pro"/>
          <w:sz w:val="20"/>
        </w:rPr>
        <w:t>7</w:t>
      </w:r>
      <w:r w:rsidRPr="00E97EDC">
        <w:rPr>
          <w:sz w:val="20"/>
        </w:rPr>
        <w:t xml:space="preserve"> </w:t>
      </w:r>
      <w:r w:rsidRPr="00E97EDC">
        <w:rPr>
          <w:rFonts w:ascii="Minion Pro" w:eastAsia="Times New Roman" w:hAnsi="Minion Pro" w:cs="Times New Roman"/>
          <w:sz w:val="20"/>
        </w:rPr>
        <w:t xml:space="preserve">For an elaboration of this point, see Haggard S (2013) </w:t>
      </w:r>
      <w:r w:rsidRPr="00E97EDC">
        <w:rPr>
          <w:rFonts w:ascii="Minion Pro" w:eastAsia="Times New Roman" w:hAnsi="Minion Pro" w:cs="Times New Roman"/>
          <w:i/>
          <w:sz w:val="20"/>
        </w:rPr>
        <w:t>The Maturing of the MOOC: Literature review of Massive Open Online Courses and other forms of online distance learning. London: Department for Business Innovation</w:t>
      </w:r>
    </w:p>
    <w:p w14:paraId="4B2A4043" w14:textId="77777777" w:rsidR="00A94492" w:rsidRDefault="00A94492" w:rsidP="00E66264"/>
    <w:p w14:paraId="06AAB2FD" w14:textId="77777777" w:rsidR="00E66264" w:rsidRDefault="00E66264" w:rsidP="00E66264"/>
    <w:p w14:paraId="5DA152C6" w14:textId="77777777" w:rsidR="00E66264" w:rsidRPr="00F5099D" w:rsidRDefault="00E66264" w:rsidP="00E66264">
      <w:pPr>
        <w:pBdr>
          <w:top w:val="single" w:sz="24" w:space="1" w:color="auto"/>
          <w:left w:val="single" w:sz="24" w:space="4" w:color="auto"/>
          <w:bottom w:val="single" w:sz="24" w:space="1" w:color="auto"/>
          <w:right w:val="single" w:sz="24" w:space="4" w:color="auto"/>
        </w:pBdr>
        <w:rPr>
          <w:b/>
          <w:sz w:val="32"/>
        </w:rPr>
      </w:pPr>
      <w:r w:rsidRPr="00F5099D">
        <w:rPr>
          <w:b/>
          <w:sz w:val="32"/>
        </w:rPr>
        <w:t>License:</w:t>
      </w:r>
    </w:p>
    <w:p w14:paraId="10F15EFB" w14:textId="77777777" w:rsidR="00E66264" w:rsidRDefault="00E66264" w:rsidP="00E66264">
      <w:pPr>
        <w:pBdr>
          <w:top w:val="single" w:sz="24" w:space="1" w:color="auto"/>
          <w:left w:val="single" w:sz="24" w:space="4" w:color="auto"/>
          <w:bottom w:val="single" w:sz="24" w:space="1" w:color="auto"/>
          <w:right w:val="single" w:sz="24" w:space="4" w:color="auto"/>
        </w:pBdr>
      </w:pPr>
    </w:p>
    <w:p w14:paraId="16D58FFD" w14:textId="77777777" w:rsidR="00E66264" w:rsidRDefault="00E66264" w:rsidP="00E66264">
      <w:pPr>
        <w:pBdr>
          <w:top w:val="single" w:sz="24" w:space="1" w:color="auto"/>
          <w:left w:val="single" w:sz="24" w:space="4" w:color="auto"/>
          <w:bottom w:val="single" w:sz="24" w:space="1" w:color="auto"/>
          <w:right w:val="single" w:sz="24" w:space="4" w:color="auto"/>
        </w:pBdr>
        <w:rPr>
          <w:lang w:val="en"/>
        </w:rPr>
      </w:pPr>
      <w:r w:rsidRPr="00F5099D">
        <w:rPr>
          <w:sz w:val="23"/>
          <w:szCs w:val="23"/>
          <w:lang w:val="en-US"/>
        </w:rPr>
        <w:t xml:space="preserve">This work is licensed under the Creative Commons Attribution 4.0 </w:t>
      </w:r>
      <w:proofErr w:type="spellStart"/>
      <w:r w:rsidRPr="00F5099D">
        <w:rPr>
          <w:sz w:val="23"/>
          <w:szCs w:val="23"/>
          <w:lang w:val="en-US"/>
        </w:rPr>
        <w:t>Unported</w:t>
      </w:r>
      <w:proofErr w:type="spellEnd"/>
      <w:r w:rsidRPr="00F5099D">
        <w:rPr>
          <w:sz w:val="23"/>
          <w:szCs w:val="23"/>
          <w:lang w:val="en-US"/>
        </w:rPr>
        <w:t xml:space="preserve"> License. To view a copy of this license, visit</w:t>
      </w:r>
      <w:r>
        <w:rPr>
          <w:lang w:val="en"/>
        </w:rPr>
        <w:t xml:space="preserve"> </w:t>
      </w:r>
      <w:hyperlink r:id="rId32" w:history="1">
        <w:r>
          <w:rPr>
            <w:rStyle w:val="Hyperlink"/>
            <w:lang w:val="en"/>
          </w:rPr>
          <w:t>https://creativecommons.org/licenses/by/4.0/</w:t>
        </w:r>
      </w:hyperlink>
    </w:p>
    <w:p w14:paraId="1A01975B" w14:textId="77777777" w:rsidR="00E66264" w:rsidRDefault="00E66264" w:rsidP="00E66264">
      <w:pPr>
        <w:pBdr>
          <w:top w:val="single" w:sz="24" w:space="1" w:color="auto"/>
          <w:left w:val="single" w:sz="24" w:space="4" w:color="auto"/>
          <w:bottom w:val="single" w:sz="24" w:space="1" w:color="auto"/>
          <w:right w:val="single" w:sz="24" w:space="4" w:color="auto"/>
        </w:pBdr>
        <w:rPr>
          <w:lang w:val="en"/>
        </w:rPr>
      </w:pPr>
    </w:p>
    <w:p w14:paraId="4A184B9C" w14:textId="77777777" w:rsidR="00E66264" w:rsidRDefault="00E66264" w:rsidP="00E66264">
      <w:pPr>
        <w:pBdr>
          <w:top w:val="single" w:sz="24" w:space="1" w:color="auto"/>
          <w:left w:val="single" w:sz="24" w:space="4" w:color="auto"/>
          <w:bottom w:val="single" w:sz="24" w:space="1" w:color="auto"/>
          <w:right w:val="single" w:sz="24" w:space="4" w:color="auto"/>
        </w:pBdr>
      </w:pPr>
      <w:r>
        <w:rPr>
          <w:noProof/>
          <w:lang w:val="en-US" w:eastAsia="en-US"/>
        </w:rPr>
        <w:drawing>
          <wp:inline distT="0" distB="0" distL="0" distR="0" wp14:anchorId="2DE18A93" wp14:editId="408DED96">
            <wp:extent cx="1144905" cy="397510"/>
            <wp:effectExtent l="0" t="0" r="0" b="2540"/>
            <wp:docPr id="4" name="Picture 4" descr="cid:image001.png@01D0713D.C722E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0713D.C722E140"/>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1144905" cy="397510"/>
                    </a:xfrm>
                    <a:prstGeom prst="rect">
                      <a:avLst/>
                    </a:prstGeom>
                    <a:noFill/>
                    <a:ln>
                      <a:noFill/>
                    </a:ln>
                  </pic:spPr>
                </pic:pic>
              </a:graphicData>
            </a:graphic>
          </wp:inline>
        </w:drawing>
      </w:r>
    </w:p>
    <w:p w14:paraId="21197970" w14:textId="77777777" w:rsidR="00E66264" w:rsidRDefault="00E66264" w:rsidP="00E66264">
      <w:pPr>
        <w:pBdr>
          <w:top w:val="single" w:sz="24" w:space="1" w:color="auto"/>
          <w:left w:val="single" w:sz="24" w:space="4" w:color="auto"/>
          <w:bottom w:val="single" w:sz="24" w:space="1" w:color="auto"/>
          <w:right w:val="single" w:sz="24" w:space="4" w:color="auto"/>
        </w:pBdr>
      </w:pPr>
    </w:p>
    <w:p w14:paraId="69548864" w14:textId="77777777" w:rsidR="00E66264" w:rsidRPr="00E902EA" w:rsidRDefault="00E66264" w:rsidP="00E66264">
      <w:pPr>
        <w:spacing w:line="360" w:lineRule="auto"/>
        <w:jc w:val="both"/>
        <w:rPr>
          <w:rFonts w:ascii="Minion Pro" w:hAnsi="Minion Pro"/>
          <w:szCs w:val="22"/>
        </w:rPr>
      </w:pPr>
    </w:p>
    <w:p w14:paraId="2A47A2F5" w14:textId="454A5011" w:rsidR="00E66264" w:rsidRPr="00E65A2E" w:rsidRDefault="00E66264" w:rsidP="00E65A2E">
      <w:pPr>
        <w:rPr>
          <w:rFonts w:ascii="Minion Pro" w:hAnsi="Minion Pro"/>
          <w:sz w:val="28"/>
        </w:rPr>
        <w:sectPr w:rsidR="00E66264" w:rsidRPr="00E65A2E" w:rsidSect="00A94492">
          <w:type w:val="continuous"/>
          <w:pgSz w:w="11900" w:h="16840"/>
          <w:pgMar w:top="1702" w:right="1127" w:bottom="1440" w:left="1800" w:header="708" w:footer="708" w:gutter="0"/>
          <w:cols w:space="708"/>
          <w:titlePg/>
          <w:docGrid w:linePitch="360"/>
        </w:sectPr>
      </w:pPr>
      <w:r>
        <w:rPr>
          <w:rFonts w:ascii="Minion Pro" w:hAnsi="Minion Pro"/>
          <w:sz w:val="32"/>
        </w:rPr>
        <w:t>Citatio</w:t>
      </w:r>
      <w:r w:rsidR="00E65A2E">
        <w:rPr>
          <w:rFonts w:ascii="Minion Pro" w:hAnsi="Minion Pro"/>
          <w:sz w:val="32"/>
        </w:rPr>
        <w:t>n</w:t>
      </w:r>
    </w:p>
    <w:p w14:paraId="48D4443F" w14:textId="77777777" w:rsidR="00E66264" w:rsidRDefault="00E66264" w:rsidP="00E66264">
      <w:pPr>
        <w:rPr>
          <w:rFonts w:ascii="Minion Pro" w:hAnsi="Minion Pro"/>
        </w:rPr>
        <w:sectPr w:rsidR="00E66264" w:rsidSect="00A94492">
          <w:type w:val="continuous"/>
          <w:pgSz w:w="11900" w:h="16840"/>
          <w:pgMar w:top="851" w:right="1127" w:bottom="1440" w:left="1800" w:header="708" w:footer="708" w:gutter="0"/>
          <w:cols w:space="708"/>
          <w:titlePg/>
          <w:docGrid w:linePitch="360"/>
        </w:sectPr>
      </w:pPr>
    </w:p>
    <w:p w14:paraId="124AFFC7" w14:textId="7C1C1EEE" w:rsidR="00E66264" w:rsidRDefault="00E66264" w:rsidP="00E66264">
      <w:pPr>
        <w:rPr>
          <w:rFonts w:ascii="Minion Pro" w:hAnsi="Minion Pro"/>
        </w:rPr>
      </w:pPr>
      <w:r>
        <w:rPr>
          <w:rFonts w:ascii="Minion Pro" w:hAnsi="Minion Pro"/>
        </w:rPr>
        <w:t>Czerniewicz, L; Deacon, A; Fife, M; Small, J; Walji, S (2015). CILT Position Paper: MOOCs. CILT, University of Cape Town.</w:t>
      </w:r>
    </w:p>
    <w:p w14:paraId="58A993F1" w14:textId="77777777" w:rsidR="00CF1946" w:rsidRDefault="00CF1946" w:rsidP="00E66264">
      <w:pPr>
        <w:rPr>
          <w:rFonts w:ascii="Minion Pro" w:hAnsi="Minion Pro"/>
        </w:rPr>
      </w:pPr>
    </w:p>
    <w:p w14:paraId="17CEC155" w14:textId="77777777" w:rsidR="00A73B7D" w:rsidRPr="00FC0237" w:rsidRDefault="00A73B7D" w:rsidP="00A73B7D">
      <w:pPr>
        <w:pStyle w:val="Heading1"/>
        <w:rPr>
          <w:rFonts w:ascii="Minion Pro" w:hAnsi="Minion Pro"/>
          <w:sz w:val="23"/>
          <w:szCs w:val="23"/>
          <w:lang w:val="en-US"/>
        </w:rPr>
      </w:pPr>
      <w:r w:rsidRPr="00FC0237">
        <w:rPr>
          <w:rFonts w:ascii="Minion Pro" w:hAnsi="Minion Pro"/>
          <w:sz w:val="23"/>
          <w:szCs w:val="23"/>
          <w:lang w:val="en-US"/>
        </w:rPr>
        <w:t>This work has been slightly adapted from the original which originally appeared in the</w:t>
      </w:r>
    </w:p>
    <w:p w14:paraId="71DB8855" w14:textId="77777777" w:rsidR="00A73B7D" w:rsidRPr="00FC0237" w:rsidRDefault="00A73B7D" w:rsidP="00A73B7D">
      <w:pPr>
        <w:pStyle w:val="Heading1"/>
        <w:rPr>
          <w:rFonts w:ascii="Minion Pro" w:hAnsi="Minion Pro"/>
          <w:sz w:val="23"/>
          <w:szCs w:val="23"/>
          <w:lang w:val="en-US"/>
        </w:rPr>
      </w:pPr>
      <w:r w:rsidRPr="00FC0237">
        <w:rPr>
          <w:rFonts w:ascii="Minion Pro" w:hAnsi="Minion Pro"/>
          <w:sz w:val="23"/>
          <w:szCs w:val="23"/>
          <w:lang w:val="en-US"/>
        </w:rPr>
        <w:t xml:space="preserve">HESA series: </w:t>
      </w:r>
      <w:proofErr w:type="spellStart"/>
      <w:r w:rsidRPr="00FC0237">
        <w:rPr>
          <w:rFonts w:ascii="Minion Pro" w:hAnsi="Minion Pro"/>
          <w:sz w:val="23"/>
          <w:szCs w:val="23"/>
          <w:lang w:val="en-US"/>
        </w:rPr>
        <w:t>Kilfoil</w:t>
      </w:r>
      <w:proofErr w:type="spellEnd"/>
      <w:r w:rsidRPr="00FC0237">
        <w:rPr>
          <w:rFonts w:ascii="Minion Pro" w:hAnsi="Minion Pro"/>
          <w:sz w:val="23"/>
          <w:szCs w:val="23"/>
          <w:lang w:val="en-US"/>
        </w:rPr>
        <w:t>, W.R. (Ed.). (2015). Moving beyond the hype: a contextualized</w:t>
      </w:r>
    </w:p>
    <w:p w14:paraId="0E0A1666" w14:textId="77777777" w:rsidR="00A73B7D" w:rsidRPr="00FC0237" w:rsidRDefault="00A73B7D" w:rsidP="00A73B7D">
      <w:pPr>
        <w:pStyle w:val="Heading1"/>
        <w:rPr>
          <w:rFonts w:ascii="Minion Pro" w:hAnsi="Minion Pro"/>
          <w:sz w:val="23"/>
          <w:szCs w:val="23"/>
          <w:lang w:val="en-US"/>
        </w:rPr>
      </w:pPr>
      <w:proofErr w:type="gramStart"/>
      <w:r w:rsidRPr="00FC0237">
        <w:rPr>
          <w:rFonts w:ascii="Minion Pro" w:hAnsi="Minion Pro"/>
          <w:sz w:val="23"/>
          <w:szCs w:val="23"/>
          <w:lang w:val="en-US"/>
        </w:rPr>
        <w:t>view</w:t>
      </w:r>
      <w:proofErr w:type="gramEnd"/>
      <w:r w:rsidRPr="00FC0237">
        <w:rPr>
          <w:rFonts w:ascii="Minion Pro" w:hAnsi="Minion Pro"/>
          <w:sz w:val="23"/>
          <w:szCs w:val="23"/>
          <w:lang w:val="en-US"/>
        </w:rPr>
        <w:t xml:space="preserve"> of learning with technology in higher education. Higher Education South Africa -</w:t>
      </w:r>
    </w:p>
    <w:p w14:paraId="340A01B9" w14:textId="7D805F28" w:rsidR="00A73B7D" w:rsidRPr="00FC0237" w:rsidRDefault="00A73B7D" w:rsidP="00A73B7D">
      <w:pPr>
        <w:pStyle w:val="Heading1"/>
        <w:rPr>
          <w:rFonts w:ascii="Minion Pro" w:hAnsi="Minion Pro"/>
          <w:sz w:val="23"/>
          <w:szCs w:val="23"/>
          <w:lang w:val="en-US"/>
        </w:rPr>
      </w:pPr>
      <w:r w:rsidRPr="00FC0237">
        <w:rPr>
          <w:rFonts w:ascii="Minion Pro" w:hAnsi="Minion Pro"/>
          <w:sz w:val="23"/>
          <w:szCs w:val="23"/>
          <w:lang w:val="en-US"/>
        </w:rPr>
        <w:t>HESA licensed under a Creative Commons Attribution 4.0 International License (CC BY)</w:t>
      </w:r>
      <w:r>
        <w:rPr>
          <w:rFonts w:ascii="Minion Pro" w:hAnsi="Minion Pro"/>
          <w:sz w:val="23"/>
          <w:szCs w:val="23"/>
          <w:lang w:val="en-US"/>
        </w:rPr>
        <w:t xml:space="preserve"> </w:t>
      </w:r>
      <w:hyperlink r:id="rId35" w:history="1">
        <w:r w:rsidRPr="00FC0237">
          <w:rPr>
            <w:rStyle w:val="Hyperlink"/>
            <w:rFonts w:ascii="Minion Pro" w:hAnsi="Minion Pro"/>
            <w:sz w:val="23"/>
            <w:szCs w:val="23"/>
            <w:lang w:val="en-US"/>
          </w:rPr>
          <w:t>creativecommons.org/licenses/by/4.0</w:t>
        </w:r>
      </w:hyperlink>
      <w:r w:rsidRPr="00FC0237">
        <w:rPr>
          <w:rFonts w:ascii="Minion Pro" w:hAnsi="Minion Pro"/>
          <w:sz w:val="23"/>
          <w:szCs w:val="23"/>
          <w:lang w:val="en-US"/>
        </w:rPr>
        <w:t xml:space="preserve"> </w:t>
      </w:r>
    </w:p>
    <w:p w14:paraId="10A0090B" w14:textId="77777777" w:rsidR="00E66264" w:rsidRDefault="00E66264" w:rsidP="00E66264">
      <w:pPr>
        <w:rPr>
          <w:rFonts w:ascii="Minion Pro" w:hAnsi="Minion Pro"/>
        </w:rPr>
      </w:pPr>
      <w:bookmarkStart w:id="7" w:name="_GoBack"/>
      <w:bookmarkEnd w:id="7"/>
    </w:p>
    <w:p w14:paraId="4EEE7916" w14:textId="77777777" w:rsidR="00E65A2E" w:rsidRDefault="00E65A2E" w:rsidP="00E66264">
      <w:pPr>
        <w:rPr>
          <w:rFonts w:ascii="Minion Pro" w:hAnsi="Minion Pro"/>
        </w:rPr>
      </w:pPr>
    </w:p>
    <w:p w14:paraId="6243356E" w14:textId="77777777" w:rsidR="00E66264" w:rsidRPr="00901951" w:rsidRDefault="00E66264" w:rsidP="00E66264">
      <w:pPr>
        <w:rPr>
          <w:rFonts w:ascii="Minion Pro" w:hAnsi="Minion Pro"/>
          <w:sz w:val="32"/>
        </w:rPr>
      </w:pPr>
      <w:r>
        <w:rPr>
          <w:rFonts w:ascii="Minion Pro" w:hAnsi="Minion Pro"/>
          <w:sz w:val="32"/>
        </w:rPr>
        <w:t>Contact Details</w:t>
      </w:r>
    </w:p>
    <w:p w14:paraId="24A33495" w14:textId="77777777" w:rsidR="00E66264" w:rsidRDefault="00E66264" w:rsidP="00E66264">
      <w:pPr>
        <w:rPr>
          <w:rFonts w:ascii="Minion Pro" w:hAnsi="Minion Pro"/>
        </w:rPr>
      </w:pPr>
      <w:r>
        <w:rPr>
          <w:rFonts w:ascii="Minion Pro" w:hAnsi="Minion Pro"/>
        </w:rPr>
        <w:t xml:space="preserve">Assoc. Prof. </w:t>
      </w:r>
      <w:r w:rsidRPr="00E66264">
        <w:rPr>
          <w:rFonts w:ascii="Minion Pro" w:hAnsi="Minion Pro"/>
          <w:sz w:val="23"/>
          <w:szCs w:val="23"/>
          <w:lang w:val="en-US"/>
        </w:rPr>
        <w:t xml:space="preserve">Laura </w:t>
      </w:r>
      <w:proofErr w:type="spellStart"/>
      <w:r w:rsidRPr="00E66264">
        <w:rPr>
          <w:rFonts w:ascii="Minion Pro" w:hAnsi="Minion Pro"/>
          <w:sz w:val="23"/>
          <w:szCs w:val="23"/>
          <w:lang w:val="en-US"/>
        </w:rPr>
        <w:t>Czerniewicz</w:t>
      </w:r>
      <w:proofErr w:type="spellEnd"/>
      <w:proofErr w:type="gramStart"/>
      <w:r>
        <w:rPr>
          <w:rFonts w:ascii="Minion Pro" w:hAnsi="Minion Pro"/>
        </w:rPr>
        <w:t xml:space="preserve">,  </w:t>
      </w:r>
      <w:proofErr w:type="gramEnd"/>
      <w:hyperlink r:id="rId36" w:history="1">
        <w:r w:rsidRPr="00CA5604">
          <w:rPr>
            <w:rStyle w:val="Hyperlink"/>
            <w:rFonts w:ascii="Minion Pro" w:hAnsi="Minion Pro"/>
          </w:rPr>
          <w:t>laura.czerniewicz@uct.ac.za</w:t>
        </w:r>
      </w:hyperlink>
      <w:r>
        <w:rPr>
          <w:rFonts w:ascii="Minion Pro" w:hAnsi="Minion Pro"/>
        </w:rPr>
        <w:t>, Tel: (021) 650 5036</w:t>
      </w:r>
    </w:p>
    <w:p w14:paraId="3AD943AA" w14:textId="296C1776" w:rsidR="00E66264" w:rsidRDefault="00E66264" w:rsidP="00E66264">
      <w:pPr>
        <w:rPr>
          <w:rFonts w:ascii="Minion Pro" w:hAnsi="Minion Pro"/>
        </w:rPr>
      </w:pPr>
      <w:r>
        <w:rPr>
          <w:rFonts w:ascii="Minion Pro" w:hAnsi="Minion Pro"/>
        </w:rPr>
        <w:t xml:space="preserve">Andrew Deacon, </w:t>
      </w:r>
      <w:hyperlink r:id="rId37" w:history="1">
        <w:r w:rsidRPr="00CA5604">
          <w:rPr>
            <w:rStyle w:val="Hyperlink"/>
            <w:rFonts w:ascii="Minion Pro" w:hAnsi="Minion Pro"/>
          </w:rPr>
          <w:t>andrew.deacon@uct.ac.za</w:t>
        </w:r>
      </w:hyperlink>
      <w:r>
        <w:rPr>
          <w:rFonts w:ascii="Minion Pro" w:hAnsi="Minion Pro"/>
        </w:rPr>
        <w:t>, Tel: (021) 650 5034</w:t>
      </w:r>
    </w:p>
    <w:p w14:paraId="0588C330" w14:textId="00B66638" w:rsidR="00E66264" w:rsidRDefault="00E66264" w:rsidP="00E66264">
      <w:pPr>
        <w:rPr>
          <w:rFonts w:ascii="Minion Pro" w:hAnsi="Minion Pro"/>
        </w:rPr>
      </w:pPr>
      <w:r>
        <w:rPr>
          <w:rFonts w:ascii="Minion Pro" w:hAnsi="Minion Pro"/>
        </w:rPr>
        <w:t xml:space="preserve">Mary-Ann Fife, </w:t>
      </w:r>
      <w:hyperlink r:id="rId38" w:history="1">
        <w:r w:rsidRPr="00CA5604">
          <w:rPr>
            <w:rStyle w:val="Hyperlink"/>
            <w:rFonts w:ascii="Minion Pro" w:hAnsi="Minion Pro"/>
          </w:rPr>
          <w:t>mary-ann.fife@uct.ac.za</w:t>
        </w:r>
      </w:hyperlink>
    </w:p>
    <w:p w14:paraId="199E0EAB" w14:textId="65DAB9ED" w:rsidR="00E66264" w:rsidRDefault="00E66264" w:rsidP="00E66264">
      <w:pPr>
        <w:rPr>
          <w:rFonts w:ascii="Minion Pro" w:hAnsi="Minion Pro"/>
        </w:rPr>
      </w:pPr>
      <w:r>
        <w:rPr>
          <w:rFonts w:ascii="Minion Pro" w:hAnsi="Minion Pro"/>
        </w:rPr>
        <w:t xml:space="preserve">Janet Small, </w:t>
      </w:r>
      <w:hyperlink r:id="rId39" w:history="1">
        <w:r w:rsidRPr="00CA5604">
          <w:rPr>
            <w:rStyle w:val="Hyperlink"/>
            <w:rFonts w:ascii="Minion Pro" w:hAnsi="Minion Pro"/>
          </w:rPr>
          <w:t>janet.small@uct.ac.za</w:t>
        </w:r>
      </w:hyperlink>
      <w:r>
        <w:rPr>
          <w:rFonts w:ascii="Minion Pro" w:hAnsi="Minion Pro"/>
        </w:rPr>
        <w:t>,</w:t>
      </w:r>
      <w:r w:rsidRPr="00E66264">
        <w:rPr>
          <w:rFonts w:ascii="Minion Pro" w:hAnsi="Minion Pro"/>
        </w:rPr>
        <w:t xml:space="preserve"> </w:t>
      </w:r>
      <w:r>
        <w:rPr>
          <w:rFonts w:ascii="Minion Pro" w:hAnsi="Minion Pro"/>
        </w:rPr>
        <w:t>Tel: (021) 650 4469</w:t>
      </w:r>
    </w:p>
    <w:p w14:paraId="5FA58492" w14:textId="26593669" w:rsidR="00E66264" w:rsidRDefault="00E66264" w:rsidP="00E66264">
      <w:pPr>
        <w:rPr>
          <w:rFonts w:ascii="Minion Pro" w:hAnsi="Minion Pro"/>
        </w:rPr>
      </w:pPr>
      <w:r>
        <w:rPr>
          <w:rFonts w:ascii="Minion Pro" w:hAnsi="Minion Pro"/>
        </w:rPr>
        <w:t xml:space="preserve">Sukaina Walji, </w:t>
      </w:r>
      <w:hyperlink r:id="rId40" w:history="1">
        <w:r w:rsidRPr="00CA5604">
          <w:rPr>
            <w:rStyle w:val="Hyperlink"/>
            <w:rFonts w:ascii="Minion Pro" w:hAnsi="Minion Pro"/>
          </w:rPr>
          <w:t>sukaina.walji@uct.ac.za</w:t>
        </w:r>
      </w:hyperlink>
    </w:p>
    <w:p w14:paraId="3D16E1B7" w14:textId="77777777" w:rsidR="00E66264" w:rsidRDefault="00E66264" w:rsidP="00E66264">
      <w:pPr>
        <w:rPr>
          <w:rFonts w:ascii="Minion Pro" w:hAnsi="Minion Pro"/>
        </w:rPr>
      </w:pPr>
    </w:p>
    <w:p w14:paraId="31DE07E4" w14:textId="77777777" w:rsidR="00E66264" w:rsidRDefault="00A73B7D" w:rsidP="00E66264">
      <w:pPr>
        <w:rPr>
          <w:rFonts w:ascii="Minion Pro" w:hAnsi="Minion Pro"/>
        </w:rPr>
      </w:pPr>
      <w:hyperlink r:id="rId41" w:history="1">
        <w:r w:rsidR="00E66264" w:rsidRPr="00CA5604">
          <w:rPr>
            <w:rStyle w:val="Hyperlink"/>
            <w:rFonts w:ascii="Minion Pro" w:hAnsi="Minion Pro"/>
          </w:rPr>
          <w:t>www.cilt.uct.ac.za</w:t>
        </w:r>
      </w:hyperlink>
      <w:r w:rsidR="00E66264">
        <w:rPr>
          <w:rFonts w:ascii="Minion Pro" w:hAnsi="Minion Pro"/>
        </w:rPr>
        <w:br/>
        <w:t xml:space="preserve">Email: </w:t>
      </w:r>
      <w:hyperlink r:id="rId42" w:history="1">
        <w:r w:rsidR="00E66264" w:rsidRPr="00CA5604">
          <w:rPr>
            <w:rStyle w:val="Hyperlink"/>
            <w:rFonts w:ascii="Minion Pro" w:hAnsi="Minion Pro"/>
          </w:rPr>
          <w:t>cilt@uct.ac.za</w:t>
        </w:r>
      </w:hyperlink>
    </w:p>
    <w:p w14:paraId="62947806" w14:textId="77777777" w:rsidR="00E66264" w:rsidRPr="007E1CE7" w:rsidRDefault="00E66264" w:rsidP="00AE3B02">
      <w:pPr>
        <w:rPr>
          <w:rFonts w:ascii="Minion Pro" w:hAnsi="Minion Pro"/>
        </w:rPr>
      </w:pPr>
    </w:p>
    <w:sectPr w:rsidR="00E66264" w:rsidRPr="007E1CE7" w:rsidSect="00A94492">
      <w:type w:val="continuous"/>
      <w:pgSz w:w="11900" w:h="16840"/>
      <w:pgMar w:top="851" w:right="1127" w:bottom="1440" w:left="180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FDDBDC" w14:textId="77777777" w:rsidR="00286A14" w:rsidRDefault="00286A14" w:rsidP="00AE3B02">
      <w:pPr>
        <w:spacing w:line="240" w:lineRule="auto"/>
      </w:pPr>
      <w:r>
        <w:separator/>
      </w:r>
    </w:p>
  </w:endnote>
  <w:endnote w:type="continuationSeparator" w:id="0">
    <w:p w14:paraId="0D9B6D1A" w14:textId="77777777" w:rsidR="00286A14" w:rsidRDefault="00286A14" w:rsidP="00AE3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Minion Pro">
    <w:panose1 w:val="02040503050306020203"/>
    <w:charset w:val="00"/>
    <w:family w:val="auto"/>
    <w:pitch w:val="variable"/>
    <w:sig w:usb0="60000287" w:usb1="00000001" w:usb2="00000000" w:usb3="00000000" w:csb0="0000019F" w:csb1="00000000"/>
  </w:font>
  <w:font w:name="Palatino">
    <w:panose1 w:val="00000000000000000000"/>
    <w:charset w:val="00"/>
    <w:family w:val="auto"/>
    <w:pitch w:val="variable"/>
    <w:sig w:usb0="A00002FF" w:usb1="7800205A" w:usb2="14600000" w:usb3="00000000" w:csb0="00000193" w:csb1="00000000"/>
  </w:font>
  <w:font w:name="Eurostile">
    <w:panose1 w:val="020B050402020205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64F55" w14:textId="77777777" w:rsidR="00E66264" w:rsidRDefault="00E66264" w:rsidP="007E1C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4E16FD" w14:textId="77777777" w:rsidR="00E66264" w:rsidRDefault="00E66264" w:rsidP="007E1CE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B555F" w14:textId="77777777" w:rsidR="00E66264" w:rsidRPr="007E1CE7" w:rsidRDefault="00E66264" w:rsidP="007E1CE7">
    <w:pPr>
      <w:pStyle w:val="Footer"/>
      <w:framePr w:wrap="around" w:vAnchor="text" w:hAnchor="margin" w:xAlign="right" w:y="1"/>
      <w:rPr>
        <w:rStyle w:val="PageNumber"/>
        <w:rFonts w:ascii="Palatino" w:hAnsi="Palatino"/>
      </w:rPr>
    </w:pPr>
    <w:r w:rsidRPr="007E1CE7">
      <w:rPr>
        <w:rStyle w:val="PageNumber"/>
        <w:rFonts w:ascii="Palatino" w:hAnsi="Palatino"/>
      </w:rPr>
      <w:fldChar w:fldCharType="begin"/>
    </w:r>
    <w:r w:rsidRPr="007E1CE7">
      <w:rPr>
        <w:rStyle w:val="PageNumber"/>
        <w:rFonts w:ascii="Palatino" w:hAnsi="Palatino"/>
      </w:rPr>
      <w:instrText xml:space="preserve">PAGE  </w:instrText>
    </w:r>
    <w:r w:rsidRPr="007E1CE7">
      <w:rPr>
        <w:rStyle w:val="PageNumber"/>
        <w:rFonts w:ascii="Palatino" w:hAnsi="Palatino"/>
      </w:rPr>
      <w:fldChar w:fldCharType="separate"/>
    </w:r>
    <w:r w:rsidR="00A73B7D">
      <w:rPr>
        <w:rStyle w:val="PageNumber"/>
        <w:rFonts w:ascii="Palatino" w:hAnsi="Palatino"/>
        <w:noProof/>
      </w:rPr>
      <w:t>10</w:t>
    </w:r>
    <w:r w:rsidRPr="007E1CE7">
      <w:rPr>
        <w:rStyle w:val="PageNumber"/>
        <w:rFonts w:ascii="Palatino" w:hAnsi="Palatino"/>
      </w:rPr>
      <w:fldChar w:fldCharType="end"/>
    </w:r>
  </w:p>
  <w:p w14:paraId="1396CB39" w14:textId="77777777" w:rsidR="00E66264" w:rsidRDefault="00E66264" w:rsidP="007E1CE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09020D" w14:textId="77777777" w:rsidR="00286A14" w:rsidRDefault="00286A14" w:rsidP="00AE3B02">
      <w:pPr>
        <w:spacing w:line="240" w:lineRule="auto"/>
      </w:pPr>
      <w:r>
        <w:separator/>
      </w:r>
    </w:p>
  </w:footnote>
  <w:footnote w:type="continuationSeparator" w:id="0">
    <w:p w14:paraId="406E3E76" w14:textId="77777777" w:rsidR="00286A14" w:rsidRDefault="00286A14" w:rsidP="00AE3B02">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C5235" w14:textId="42D661C9" w:rsidR="00E66264" w:rsidRDefault="00E66264">
    <w:pPr>
      <w:pStyle w:val="Header"/>
    </w:pPr>
    <w:r w:rsidRPr="00AE3B02">
      <w:rPr>
        <w:noProof/>
      </w:rPr>
      <w:drawing>
        <wp:anchor distT="0" distB="0" distL="114300" distR="114300" simplePos="0" relativeHeight="251659264" behindDoc="0" locked="0" layoutInCell="1" allowOverlap="1" wp14:anchorId="1A8DA879" wp14:editId="35723675">
          <wp:simplePos x="0" y="0"/>
          <wp:positionH relativeFrom="column">
            <wp:posOffset>-114300</wp:posOffset>
          </wp:positionH>
          <wp:positionV relativeFrom="paragraph">
            <wp:posOffset>-72390</wp:posOffset>
          </wp:positionV>
          <wp:extent cx="6034227" cy="294640"/>
          <wp:effectExtent l="0" t="0" r="11430" b="1016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E9E70" w14:textId="61E2DDDF" w:rsidR="00E66264" w:rsidRDefault="00E66264">
    <w:pPr>
      <w:pStyle w:val="Header"/>
    </w:pPr>
    <w:r w:rsidRPr="00AE3B02">
      <w:rPr>
        <w:noProof/>
      </w:rPr>
      <w:drawing>
        <wp:anchor distT="0" distB="0" distL="114300" distR="114300" simplePos="0" relativeHeight="251662336" behindDoc="0" locked="0" layoutInCell="1" allowOverlap="1" wp14:anchorId="7E6039DD" wp14:editId="576694F8">
          <wp:simplePos x="0" y="0"/>
          <wp:positionH relativeFrom="column">
            <wp:posOffset>-114300</wp:posOffset>
          </wp:positionH>
          <wp:positionV relativeFrom="paragraph">
            <wp:posOffset>-137795</wp:posOffset>
          </wp:positionV>
          <wp:extent cx="6034227" cy="294640"/>
          <wp:effectExtent l="0" t="0" r="11430" b="101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0A4A"/>
    <w:multiLevelType w:val="multilevel"/>
    <w:tmpl w:val="F196C8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74751D1"/>
    <w:multiLevelType w:val="hybridMultilevel"/>
    <w:tmpl w:val="EA1E17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25557941"/>
    <w:multiLevelType w:val="multilevel"/>
    <w:tmpl w:val="2390C5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3D16296C"/>
    <w:multiLevelType w:val="hybridMultilevel"/>
    <w:tmpl w:val="83A4C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0E97C8A"/>
    <w:multiLevelType w:val="hybridMultilevel"/>
    <w:tmpl w:val="62827F86"/>
    <w:lvl w:ilvl="0" w:tplc="8AEE77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DDA74D8"/>
    <w:multiLevelType w:val="multilevel"/>
    <w:tmpl w:val="A45615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69B34AE9"/>
    <w:multiLevelType w:val="hybridMultilevel"/>
    <w:tmpl w:val="0526CC4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77B6566B"/>
    <w:multiLevelType w:val="multilevel"/>
    <w:tmpl w:val="0A0011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5"/>
  </w:num>
  <w:num w:numId="2">
    <w:abstractNumId w:val="0"/>
  </w:num>
  <w:num w:numId="3">
    <w:abstractNumId w:val="7"/>
  </w:num>
  <w:num w:numId="4">
    <w:abstractNumId w:val="2"/>
  </w:num>
  <w:num w:numId="5">
    <w:abstractNumId w:val="1"/>
  </w:num>
  <w:num w:numId="6">
    <w:abstractNumId w:val="6"/>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B02"/>
    <w:rsid w:val="00015248"/>
    <w:rsid w:val="00155BBC"/>
    <w:rsid w:val="00155BC2"/>
    <w:rsid w:val="001F3563"/>
    <w:rsid w:val="00210BE5"/>
    <w:rsid w:val="00286A14"/>
    <w:rsid w:val="003B2FC4"/>
    <w:rsid w:val="00476F20"/>
    <w:rsid w:val="004E55B7"/>
    <w:rsid w:val="00527666"/>
    <w:rsid w:val="005D69BA"/>
    <w:rsid w:val="0062380A"/>
    <w:rsid w:val="00625D6A"/>
    <w:rsid w:val="00695F8D"/>
    <w:rsid w:val="007E1CE7"/>
    <w:rsid w:val="0092208B"/>
    <w:rsid w:val="00924067"/>
    <w:rsid w:val="00926696"/>
    <w:rsid w:val="00937122"/>
    <w:rsid w:val="00A73B7D"/>
    <w:rsid w:val="00A94492"/>
    <w:rsid w:val="00AE3B02"/>
    <w:rsid w:val="00B91ED7"/>
    <w:rsid w:val="00C11F8D"/>
    <w:rsid w:val="00CF1946"/>
    <w:rsid w:val="00D034A5"/>
    <w:rsid w:val="00E65A2E"/>
    <w:rsid w:val="00E66264"/>
    <w:rsid w:val="00E902EA"/>
    <w:rsid w:val="00E91E06"/>
    <w:rsid w:val="00E97EDC"/>
    <w:rsid w:val="00F057B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633827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character" w:customStyle="1" w:styleId="NoSpacingChar">
    <w:name w:val="No Spacing Char"/>
    <w:basedOn w:val="DefaultParagraphFont"/>
    <w:link w:val="NoSpacing"/>
    <w:uiPriority w:val="1"/>
    <w:locked/>
    <w:rsid w:val="00CF1946"/>
    <w:rPr>
      <w:rFonts w:ascii="Calibri" w:eastAsiaTheme="minorHAnsi" w:hAnsi="Calibri"/>
    </w:rPr>
  </w:style>
  <w:style w:type="paragraph" w:styleId="NoSpacing">
    <w:name w:val="No Spacing"/>
    <w:basedOn w:val="Normal"/>
    <w:link w:val="NoSpacingChar"/>
    <w:uiPriority w:val="1"/>
    <w:qFormat/>
    <w:rsid w:val="00CF1946"/>
    <w:pPr>
      <w:spacing w:before="100" w:beforeAutospacing="1" w:after="100" w:afterAutospacing="1" w:line="240" w:lineRule="auto"/>
    </w:pPr>
    <w:rPr>
      <w:rFonts w:ascii="Calibri" w:eastAsiaTheme="minorHAnsi" w:hAnsi="Calibri" w:cstheme="minorBidi"/>
      <w:color w:val="auto"/>
      <w:sz w:val="24"/>
      <w:szCs w:val="24"/>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character" w:customStyle="1" w:styleId="NoSpacingChar">
    <w:name w:val="No Spacing Char"/>
    <w:basedOn w:val="DefaultParagraphFont"/>
    <w:link w:val="NoSpacing"/>
    <w:uiPriority w:val="1"/>
    <w:locked/>
    <w:rsid w:val="00CF1946"/>
    <w:rPr>
      <w:rFonts w:ascii="Calibri" w:eastAsiaTheme="minorHAnsi" w:hAnsi="Calibri"/>
    </w:rPr>
  </w:style>
  <w:style w:type="paragraph" w:styleId="NoSpacing">
    <w:name w:val="No Spacing"/>
    <w:basedOn w:val="Normal"/>
    <w:link w:val="NoSpacingChar"/>
    <w:uiPriority w:val="1"/>
    <w:qFormat/>
    <w:rsid w:val="00CF1946"/>
    <w:pPr>
      <w:spacing w:before="100" w:beforeAutospacing="1" w:after="100" w:afterAutospacing="1" w:line="240" w:lineRule="auto"/>
    </w:pPr>
    <w:rPr>
      <w:rFonts w:ascii="Calibri" w:eastAsiaTheme="minorHAnsi" w:hAnsi="Calibri" w:cstheme="minorBidi"/>
      <w:color w:val="auto"/>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538828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s://www.heacademy.ac.uk/node/10346" TargetMode="External"/><Relationship Id="rId21" Type="http://schemas.openxmlformats.org/officeDocument/2006/relationships/hyperlink" Target="http://dx.doi.org/10.7238/rusc.v12i1.2031" TargetMode="External"/><Relationship Id="rId22" Type="http://schemas.openxmlformats.org/officeDocument/2006/relationships/hyperlink" Target="http://www.heacademy.ac.uk/resources/detail/elt/the_pedagogy_of_the_MOOC_UK_view" TargetMode="External"/><Relationship Id="rId23" Type="http://schemas.openxmlformats.org/officeDocument/2006/relationships/hyperlink" Target="https://www.class-central.com/report/moocs-stats-and-trends-2014/" TargetMode="External"/><Relationship Id="rId24" Type="http://schemas.openxmlformats.org/officeDocument/2006/relationships/hyperlink" Target="http://www.irrodl.org/index.php/irrodl/article/view/1651" TargetMode="External"/><Relationship Id="rId25" Type="http://schemas.openxmlformats.org/officeDocument/2006/relationships/hyperlink" Target="http://centaur.reading.ac.uk/32452/1/In-depth_33_1.pdf" TargetMode="External"/><Relationship Id="rId26" Type="http://schemas.openxmlformats.org/officeDocument/2006/relationships/hyperlink" Target="http://www.educause.edu/ero/article/beyond-mooc-model-changing-educational-paradigms" TargetMode="External"/><Relationship Id="rId27" Type="http://schemas.openxmlformats.org/officeDocument/2006/relationships/hyperlink" Target="https://www.heacademy.ac.uk/node/10346" TargetMode="External"/><Relationship Id="rId28" Type="http://schemas.openxmlformats.org/officeDocument/2006/relationships/header" Target="header1.xml"/><Relationship Id="rId29" Type="http://schemas.openxmlformats.org/officeDocument/2006/relationships/footer" Target="foot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footer" Target="footer2.xml"/><Relationship Id="rId31" Type="http://schemas.openxmlformats.org/officeDocument/2006/relationships/header" Target="header2.xml"/><Relationship Id="rId32" Type="http://schemas.openxmlformats.org/officeDocument/2006/relationships/hyperlink" Target="https://creativecommons.org/licenses/by/4.0/" TargetMode="External"/><Relationship Id="rId9" Type="http://schemas.openxmlformats.org/officeDocument/2006/relationships/image" Target="media/image1.jpe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5.png"/><Relationship Id="rId34" Type="http://schemas.openxmlformats.org/officeDocument/2006/relationships/image" Target="cid:image001.png@01D07144.C86C7410" TargetMode="External"/><Relationship Id="rId35" Type="http://schemas.openxmlformats.org/officeDocument/2006/relationships/hyperlink" Target="creativecommons.org/licenses/by/4.0" TargetMode="External"/><Relationship Id="rId36" Type="http://schemas.openxmlformats.org/officeDocument/2006/relationships/hyperlink" Target="mailto:laura.czerniewicz@uct.ac.za" TargetMode="External"/><Relationship Id="rId10" Type="http://schemas.openxmlformats.org/officeDocument/2006/relationships/hyperlink" Target="http://www.cilt.uct.ac.za/cilt/about/rondine-carstens" TargetMode="External"/><Relationship Id="rId11" Type="http://schemas.openxmlformats.org/officeDocument/2006/relationships/hyperlink" Target="http://www.cilt.uct.ac.za/cilt/about/rondine-carstens" TargetMode="External"/><Relationship Id="rId12" Type="http://schemas.openxmlformats.org/officeDocument/2006/relationships/image" Target="media/image2.png"/><Relationship Id="rId13" Type="http://schemas.openxmlformats.org/officeDocument/2006/relationships/image" Target="media/image3.jpeg"/><Relationship Id="rId14" Type="http://schemas.openxmlformats.org/officeDocument/2006/relationships/hyperlink" Target="http://dx.doi.org/10.7238/rusc.v12i1.2031" TargetMode="External"/><Relationship Id="rId15" Type="http://schemas.openxmlformats.org/officeDocument/2006/relationships/hyperlink" Target="http://www.heacademy.ac.uk/resources/detail/elt/the_pedagogy_of_the_MOOC_UK_view" TargetMode="External"/><Relationship Id="rId16" Type="http://schemas.openxmlformats.org/officeDocument/2006/relationships/hyperlink" Target="https://www.class-central.com/report/moocs-stats-and-trends-2014/" TargetMode="External"/><Relationship Id="rId17" Type="http://schemas.openxmlformats.org/officeDocument/2006/relationships/hyperlink" Target="http://www.irrodl.org/index.php/irrodl/article/view/1651" TargetMode="External"/><Relationship Id="rId18" Type="http://schemas.openxmlformats.org/officeDocument/2006/relationships/hyperlink" Target="http://centaur.reading.ac.uk/32452/1/In-depth_33_1.pdf" TargetMode="External"/><Relationship Id="rId19" Type="http://schemas.openxmlformats.org/officeDocument/2006/relationships/hyperlink" Target="http://www.educause.edu/ero/article/beyond-mooc-model-changing-educational-paradigms" TargetMode="External"/><Relationship Id="rId37" Type="http://schemas.openxmlformats.org/officeDocument/2006/relationships/hyperlink" Target="mailto:andrew.deacon@uct.ac.za" TargetMode="External"/><Relationship Id="rId38" Type="http://schemas.openxmlformats.org/officeDocument/2006/relationships/hyperlink" Target="mailto:mary-ann.fife@uct.ac.za" TargetMode="External"/><Relationship Id="rId39" Type="http://schemas.openxmlformats.org/officeDocument/2006/relationships/hyperlink" Target="mailto:janet.small@uct.ac.za" TargetMode="External"/><Relationship Id="rId40" Type="http://schemas.openxmlformats.org/officeDocument/2006/relationships/hyperlink" Target="mailto:sukaina.walji@uct.ac.za" TargetMode="External"/><Relationship Id="rId41" Type="http://schemas.openxmlformats.org/officeDocument/2006/relationships/hyperlink" Target="http://www.cilt.uct.ac.za" TargetMode="External"/><Relationship Id="rId42" Type="http://schemas.openxmlformats.org/officeDocument/2006/relationships/hyperlink" Target="mailto:cilt@uct.ac.za" TargetMode="External"/><Relationship Id="rId43" Type="http://schemas.openxmlformats.org/officeDocument/2006/relationships/fontTable" Target="fontTable.xml"/><Relationship Id="rId4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7342D0-33CA-7E43-8BBE-512537995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2739</Words>
  <Characters>15613</Characters>
  <Application>Microsoft Macintosh Word</Application>
  <DocSecurity>0</DocSecurity>
  <Lines>130</Lines>
  <Paragraphs>36</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MOOCs</vt:lpstr>
      <vt:lpstr>CILT POSITION PAPER</vt:lpstr>
      <vt:lpstr>The major English-medium MOOC platform providers are Coursera, edX, Canvas and F</vt:lpstr>
    </vt:vector>
  </TitlesOfParts>
  <Company>UCT</Company>
  <LinksUpToDate>false</LinksUpToDate>
  <CharactersWithSpaces>18316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Rondine Carstens</dc:creator>
  <cp:lastModifiedBy>Rondine Carstens</cp:lastModifiedBy>
  <cp:revision>2</cp:revision>
  <dcterms:created xsi:type="dcterms:W3CDTF">2015-09-01T13:38:00Z</dcterms:created>
  <dcterms:modified xsi:type="dcterms:W3CDTF">2015-09-01T13:38:00Z</dcterms:modified>
</cp:coreProperties>
</file>