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0F644C" w14:textId="77777777" w:rsidR="00C33993" w:rsidRPr="00E203EC" w:rsidRDefault="00C33993" w:rsidP="00C33993">
      <w:pPr>
        <w:pStyle w:val="Heading1"/>
        <w:rPr>
          <w:rFonts w:ascii="Minion Pro" w:hAnsi="Minion Pro" w:cs="Times New Roman"/>
          <w:b/>
          <w:sz w:val="20"/>
        </w:rPr>
      </w:pPr>
      <w:r w:rsidRPr="00C33993">
        <w:rPr>
          <w:rFonts w:ascii="Minion Pro" w:hAnsi="Minion Pro"/>
          <w:b/>
          <w:color w:val="76923C" w:themeColor="accent3" w:themeShade="BF"/>
          <w:sz w:val="52"/>
          <w:szCs w:val="52"/>
        </w:rPr>
        <w:t>ePortfolios</w:t>
      </w:r>
    </w:p>
    <w:p w14:paraId="7963AE91" w14:textId="77777777" w:rsidR="00C33993" w:rsidRPr="00F323D3" w:rsidRDefault="00C33993" w:rsidP="00C33993">
      <w:pPr>
        <w:pStyle w:val="Heading1"/>
        <w:rPr>
          <w:rFonts w:ascii="Minion Pro" w:hAnsi="Minion Pro"/>
          <w:b/>
          <w:i/>
          <w:color w:val="76923C" w:themeColor="accent3" w:themeShade="BF"/>
          <w:sz w:val="36"/>
          <w:szCs w:val="44"/>
        </w:rPr>
      </w:pPr>
      <w:r w:rsidRPr="00E66264">
        <w:rPr>
          <w:rFonts w:ascii="Minion Pro" w:hAnsi="Minion Pro"/>
          <w:b/>
          <w:i/>
          <w:color w:val="76923C" w:themeColor="accent3" w:themeShade="BF"/>
          <w:sz w:val="36"/>
          <w:szCs w:val="44"/>
        </w:rPr>
        <w:t>CILT POSITION PAPER</w:t>
      </w:r>
    </w:p>
    <w:p w14:paraId="53B0EB2C" w14:textId="77777777" w:rsidR="007E1CE7" w:rsidRPr="007E1CE7" w:rsidRDefault="007E1CE7" w:rsidP="007E1CE7"/>
    <w:p w14:paraId="710F10E1" w14:textId="77777777" w:rsidR="00411E7B" w:rsidRDefault="00E1298A" w:rsidP="0062380A">
      <w:pPr>
        <w:rPr>
          <w:rFonts w:ascii="Palatino" w:hAnsi="Palatino"/>
          <w:b/>
          <w:noProof/>
          <w:sz w:val="28"/>
          <w:szCs w:val="28"/>
        </w:rPr>
      </w:pPr>
      <w:r w:rsidRPr="00E1298A">
        <w:rPr>
          <w:rFonts w:ascii="Palatino" w:hAnsi="Palatino"/>
          <w:b/>
          <w:sz w:val="28"/>
          <w:szCs w:val="28"/>
        </w:rPr>
        <w:t xml:space="preserve">Nicola Pallitt, Sonja Strydom and Eunice Ivala </w:t>
      </w:r>
      <w:bookmarkStart w:id="0" w:name="h.sutfnwyts7rq" w:colFirst="0" w:colLast="0"/>
      <w:bookmarkStart w:id="1" w:name="h.l0yp1y3kprm" w:colFirst="0" w:colLast="0"/>
      <w:bookmarkStart w:id="2" w:name="h.83cf6lbw5j7m" w:colFirst="0" w:colLast="0"/>
      <w:bookmarkEnd w:id="0"/>
      <w:bookmarkEnd w:id="1"/>
      <w:bookmarkEnd w:id="2"/>
      <w:r w:rsidR="00625D6A">
        <w:rPr>
          <w:rFonts w:ascii="Palatino" w:hAnsi="Palatino"/>
          <w:i/>
          <w:szCs w:val="22"/>
        </w:rPr>
        <w:br/>
      </w:r>
    </w:p>
    <w:p w14:paraId="3BF11967" w14:textId="6A078DEF" w:rsidR="003B2FC4" w:rsidRPr="0012285D" w:rsidRDefault="00411E7B" w:rsidP="0062380A">
      <w:pPr>
        <w:rPr>
          <w:rFonts w:ascii="Palatino" w:hAnsi="Palatino"/>
          <w:b/>
          <w:sz w:val="28"/>
          <w:szCs w:val="28"/>
        </w:rPr>
      </w:pPr>
      <w:r>
        <w:rPr>
          <w:rFonts w:ascii="Palatino" w:hAnsi="Palatino"/>
          <w:b/>
          <w:noProof/>
          <w:sz w:val="28"/>
          <w:szCs w:val="28"/>
        </w:rPr>
        <w:drawing>
          <wp:inline distT="0" distB="0" distL="0" distR="0" wp14:anchorId="2D0BE4A9" wp14:editId="7E1B1C06">
            <wp:extent cx="5599056" cy="2594113"/>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tfolio papers.jpg"/>
                    <pic:cNvPicPr/>
                  </pic:nvPicPr>
                  <pic:blipFill rotWithShape="1">
                    <a:blip r:embed="rId9">
                      <a:extLst>
                        <a:ext uri="{28A0092B-C50C-407E-A947-70E740481C1C}">
                          <a14:useLocalDpi xmlns:a14="http://schemas.microsoft.com/office/drawing/2010/main" val="0"/>
                        </a:ext>
                      </a:extLst>
                    </a:blip>
                    <a:srcRect t="3996" b="26401"/>
                    <a:stretch/>
                  </pic:blipFill>
                  <pic:spPr bwMode="auto">
                    <a:xfrm>
                      <a:off x="0" y="0"/>
                      <a:ext cx="5608320" cy="2598405"/>
                    </a:xfrm>
                    <a:prstGeom prst="rect">
                      <a:avLst/>
                    </a:prstGeom>
                    <a:ln>
                      <a:noFill/>
                    </a:ln>
                    <a:extLst>
                      <a:ext uri="{53640926-AAD7-44D8-BBD7-CCE9431645EC}">
                        <a14:shadowObscured xmlns:a14="http://schemas.microsoft.com/office/drawing/2010/main"/>
                      </a:ext>
                    </a:extLst>
                  </pic:spPr>
                </pic:pic>
              </a:graphicData>
            </a:graphic>
          </wp:inline>
        </w:drawing>
      </w:r>
    </w:p>
    <w:p w14:paraId="019A608D" w14:textId="77777777" w:rsidR="003E7848" w:rsidRDefault="003E7848" w:rsidP="003E7848">
      <w:pPr>
        <w:widowControl w:val="0"/>
        <w:spacing w:line="360" w:lineRule="auto"/>
        <w:rPr>
          <w:rFonts w:ascii="Minion Pro" w:hAnsi="Minion Pro"/>
        </w:rPr>
      </w:pPr>
    </w:p>
    <w:p w14:paraId="43321643" w14:textId="371CB495" w:rsidR="00E1298A" w:rsidRPr="00D43D3E" w:rsidRDefault="00E1298A" w:rsidP="00E1298A">
      <w:r w:rsidRPr="00E1298A">
        <w:rPr>
          <w:rFonts w:ascii="Minion Pro" w:hAnsi="Minion Pro"/>
          <w:b/>
          <w:color w:val="76923C" w:themeColor="accent3" w:themeShade="BF"/>
          <w:sz w:val="44"/>
          <w:szCs w:val="44"/>
        </w:rPr>
        <w:t>Introduction to ePortfolios: Definition and characteristics</w:t>
      </w:r>
    </w:p>
    <w:p w14:paraId="738CEF83" w14:textId="77777777" w:rsidR="00E1298A" w:rsidRPr="00E1298A" w:rsidRDefault="00E1298A" w:rsidP="00A92EAC">
      <w:pPr>
        <w:widowControl w:val="0"/>
        <w:spacing w:line="360" w:lineRule="auto"/>
        <w:jc w:val="both"/>
        <w:rPr>
          <w:rFonts w:ascii="Minion Pro" w:hAnsi="Minion Pro"/>
        </w:rPr>
      </w:pPr>
      <w:r w:rsidRPr="00E1298A">
        <w:rPr>
          <w:rFonts w:ascii="Minion Pro" w:hAnsi="Minion Pro"/>
        </w:rPr>
        <w:t>Radical changes in information and communication technologies (ICTs) in the past few years have had a direct impact on thinking about learning, pedagogy, theory and learning outcomes (Jimoyiannis 2012). Local and international trends in higher education emphasise the notion of student-centred and lifelong learning (Littlejohn, Beetham &amp; Mcgill 2012), the development of graduate attributes (Bozalek &amp; Watters 2014; Jacobs &amp; Strydom 2014) and continuous professional development (Jimoyiannis 2012); and increased attention paid to the integration of ICTs (Jaffer, Ng’ambi &amp; Czerniewicz 2007) calls for a critical investigation into learning technologies that could assist in these educational developments. Learning environments in the 21st century require authenticity, flexibility, less emphasis on memorising of content, more development of thinking and problem-solving skills and knowledge application (Rodgers, Runyon, Starrett &amp; Von Holzen 2006). There is increasing interest in the process of maintaining an electronic portfolio (ePortfolio) and the role it can play in student learning. This interest has been driven by a greater awareness of student-</w:t>
      </w:r>
      <w:r w:rsidRPr="00E1298A">
        <w:rPr>
          <w:rFonts w:ascii="Minion Pro" w:hAnsi="Minion Pro"/>
        </w:rPr>
        <w:lastRenderedPageBreak/>
        <w:t>centred and lifelong learning, graduate attributes and professional development, both locally and internationally.</w:t>
      </w:r>
    </w:p>
    <w:p w14:paraId="00CD795E" w14:textId="77777777" w:rsidR="00E1298A" w:rsidRPr="00D43D3E" w:rsidRDefault="00E1298A" w:rsidP="00E1298A">
      <w:pPr>
        <w:spacing w:line="360" w:lineRule="auto"/>
        <w:rPr>
          <w:color w:val="auto"/>
        </w:rPr>
      </w:pPr>
    </w:p>
    <w:p w14:paraId="65B5B987" w14:textId="77777777" w:rsidR="00E1298A" w:rsidRPr="00E1298A" w:rsidRDefault="00E1298A" w:rsidP="00E1298A">
      <w:pPr>
        <w:rPr>
          <w:rFonts w:ascii="Minion Pro" w:hAnsi="Minion Pro"/>
          <w:b/>
          <w:color w:val="76923C" w:themeColor="accent3" w:themeShade="BF"/>
          <w:sz w:val="44"/>
          <w:szCs w:val="44"/>
        </w:rPr>
      </w:pPr>
      <w:r w:rsidRPr="00E1298A">
        <w:rPr>
          <w:rFonts w:ascii="Minion Pro" w:hAnsi="Minion Pro"/>
          <w:b/>
          <w:color w:val="76923C" w:themeColor="accent3" w:themeShade="BF"/>
          <w:sz w:val="44"/>
          <w:szCs w:val="44"/>
        </w:rPr>
        <w:t>What is an ePortfolio?</w:t>
      </w:r>
    </w:p>
    <w:p w14:paraId="079B5A99" w14:textId="77777777" w:rsidR="00E1298A" w:rsidRPr="00E1298A" w:rsidRDefault="00E1298A" w:rsidP="00A92EAC">
      <w:pPr>
        <w:widowControl w:val="0"/>
        <w:spacing w:line="360" w:lineRule="auto"/>
        <w:jc w:val="both"/>
        <w:rPr>
          <w:rFonts w:ascii="Minion Pro" w:hAnsi="Minion Pro"/>
        </w:rPr>
      </w:pPr>
      <w:r w:rsidRPr="00E1298A">
        <w:rPr>
          <w:rFonts w:ascii="Minion Pro" w:hAnsi="Minion Pro"/>
        </w:rPr>
        <w:t xml:space="preserve">An ePortfolio is a ‘purposeful collection of information and digital artefacts that demonstrates development or evidences learning outcomes, skills or competencies’ (Cotterill 2007). Some researchers refer to an ePortfolio concept (Faulkner 2010), pedagogy and/or practice, rather than a particular online system or tool. Although ePortfolios have been defined in various ways, the emerging consensus is that the term encompasses both a process and a product (JISC 2014). Barrett (2010), suggests that ePortfolio development is more than just the role of technology and a particular product, but rather that emphasis should be placed on the learning process. From a teaching and learning perspective, students use ePortfolios to engage in a learning process and collect and organise forms of digital evidence (artefacts) that demonstrate learning outcomes, skills and competencies. Creating an ePortfolio involves engaging in reflective practices that help to support and synthesise formal and informal learning, professional development, graduate attributes and lifelong learning. </w:t>
      </w:r>
    </w:p>
    <w:p w14:paraId="6DEF4365" w14:textId="77777777" w:rsidR="00E1298A" w:rsidRDefault="00E1298A" w:rsidP="00E1298A">
      <w:pPr>
        <w:spacing w:line="360" w:lineRule="auto"/>
        <w:rPr>
          <w:color w:val="auto"/>
          <w:sz w:val="24"/>
        </w:rPr>
      </w:pPr>
    </w:p>
    <w:p w14:paraId="0EF97327" w14:textId="77777777" w:rsidR="00E1298A" w:rsidRPr="00E1298A" w:rsidRDefault="00E1298A" w:rsidP="00E1298A">
      <w:pPr>
        <w:rPr>
          <w:rFonts w:ascii="Minion Pro" w:hAnsi="Minion Pro"/>
          <w:b/>
          <w:color w:val="76923C" w:themeColor="accent3" w:themeShade="BF"/>
          <w:sz w:val="44"/>
          <w:szCs w:val="44"/>
        </w:rPr>
      </w:pPr>
      <w:r w:rsidRPr="00E1298A">
        <w:rPr>
          <w:rFonts w:ascii="Minion Pro" w:hAnsi="Minion Pro"/>
          <w:b/>
          <w:color w:val="76923C" w:themeColor="accent3" w:themeShade="BF"/>
          <w:sz w:val="44"/>
          <w:szCs w:val="44"/>
        </w:rPr>
        <w:t>Differences between paper-based portfolios and ePortfolios</w:t>
      </w:r>
    </w:p>
    <w:p w14:paraId="12C36395" w14:textId="77777777" w:rsidR="00E1298A" w:rsidRPr="00E1298A" w:rsidRDefault="00E1298A" w:rsidP="00A92EAC">
      <w:pPr>
        <w:spacing w:line="360" w:lineRule="auto"/>
        <w:jc w:val="both"/>
        <w:rPr>
          <w:rFonts w:ascii="Minion Pro" w:hAnsi="Minion Pro"/>
          <w:color w:val="auto"/>
          <w:sz w:val="24"/>
        </w:rPr>
      </w:pPr>
      <w:r w:rsidRPr="00E1298A">
        <w:rPr>
          <w:rFonts w:ascii="Minion Pro" w:hAnsi="Minion Pro"/>
          <w:color w:val="auto"/>
          <w:sz w:val="24"/>
        </w:rPr>
        <w:t>EPortfolios are different to traditional, paper-based portfolios in that particular uses thereof may include a range of affordances :</w:t>
      </w:r>
    </w:p>
    <w:p w14:paraId="6CCFF862" w14:textId="77777777" w:rsidR="00E1298A" w:rsidRPr="00E1298A" w:rsidRDefault="00E1298A" w:rsidP="00A92EAC">
      <w:pPr>
        <w:widowControl w:val="0"/>
        <w:numPr>
          <w:ilvl w:val="0"/>
          <w:numId w:val="13"/>
        </w:numPr>
        <w:spacing w:line="360" w:lineRule="auto"/>
        <w:jc w:val="both"/>
        <w:rPr>
          <w:rFonts w:ascii="Minion Pro" w:hAnsi="Minion Pro"/>
          <w:color w:val="auto"/>
          <w:sz w:val="24"/>
        </w:rPr>
      </w:pPr>
      <w:r w:rsidRPr="00E1298A">
        <w:rPr>
          <w:rFonts w:ascii="Minion Pro" w:hAnsi="Minion Pro"/>
          <w:color w:val="auto"/>
          <w:sz w:val="24"/>
        </w:rPr>
        <w:t>ePortfolios can be more easily shared, stored and updated.</w:t>
      </w:r>
    </w:p>
    <w:p w14:paraId="0178BCB8" w14:textId="77777777" w:rsidR="00E1298A" w:rsidRPr="00E1298A" w:rsidRDefault="00E1298A" w:rsidP="00A92EAC">
      <w:pPr>
        <w:widowControl w:val="0"/>
        <w:numPr>
          <w:ilvl w:val="0"/>
          <w:numId w:val="13"/>
        </w:numPr>
        <w:spacing w:line="360" w:lineRule="auto"/>
        <w:jc w:val="both"/>
        <w:rPr>
          <w:rFonts w:ascii="Minion Pro" w:hAnsi="Minion Pro"/>
          <w:color w:val="auto"/>
          <w:sz w:val="24"/>
        </w:rPr>
      </w:pPr>
      <w:r w:rsidRPr="00E1298A">
        <w:rPr>
          <w:rFonts w:ascii="Minion Pro" w:hAnsi="Minion Pro"/>
          <w:color w:val="auto"/>
          <w:sz w:val="24"/>
        </w:rPr>
        <w:t>They include a range of multimedia (embedded in text or hyperlinked).</w:t>
      </w:r>
    </w:p>
    <w:p w14:paraId="0FEC8EBA" w14:textId="77777777" w:rsidR="00E1298A" w:rsidRPr="00E1298A" w:rsidRDefault="00E1298A" w:rsidP="00A92EAC">
      <w:pPr>
        <w:widowControl w:val="0"/>
        <w:numPr>
          <w:ilvl w:val="0"/>
          <w:numId w:val="13"/>
        </w:numPr>
        <w:spacing w:line="360" w:lineRule="auto"/>
        <w:jc w:val="both"/>
        <w:rPr>
          <w:rFonts w:ascii="Minion Pro" w:hAnsi="Minion Pro"/>
          <w:color w:val="auto"/>
          <w:sz w:val="24"/>
        </w:rPr>
      </w:pPr>
      <w:r w:rsidRPr="00E1298A">
        <w:rPr>
          <w:rFonts w:ascii="Minion Pro" w:hAnsi="Minion Pro"/>
          <w:color w:val="auto"/>
          <w:sz w:val="24"/>
        </w:rPr>
        <w:t>They can provide opportunities for reflective practices.</w:t>
      </w:r>
    </w:p>
    <w:p w14:paraId="012C2BAD" w14:textId="77777777" w:rsidR="00E1298A" w:rsidRPr="00E1298A" w:rsidRDefault="00E1298A" w:rsidP="00A92EAC">
      <w:pPr>
        <w:widowControl w:val="0"/>
        <w:numPr>
          <w:ilvl w:val="0"/>
          <w:numId w:val="13"/>
        </w:numPr>
        <w:spacing w:line="360" w:lineRule="auto"/>
        <w:jc w:val="both"/>
        <w:rPr>
          <w:rFonts w:ascii="Minion Pro" w:hAnsi="Minion Pro"/>
          <w:color w:val="auto"/>
          <w:sz w:val="24"/>
        </w:rPr>
      </w:pPr>
      <w:r w:rsidRPr="00E1298A">
        <w:rPr>
          <w:rFonts w:ascii="Minion Pro" w:hAnsi="Minion Pro"/>
          <w:color w:val="auto"/>
          <w:sz w:val="24"/>
        </w:rPr>
        <w:t>They provide a potential for collaborative learning.</w:t>
      </w:r>
    </w:p>
    <w:p w14:paraId="16942A02" w14:textId="77777777" w:rsidR="00E1298A" w:rsidRPr="00E1298A" w:rsidRDefault="00E1298A" w:rsidP="00A92EAC">
      <w:pPr>
        <w:widowControl w:val="0"/>
        <w:numPr>
          <w:ilvl w:val="0"/>
          <w:numId w:val="13"/>
        </w:numPr>
        <w:spacing w:line="360" w:lineRule="auto"/>
        <w:jc w:val="both"/>
        <w:rPr>
          <w:rFonts w:ascii="Minion Pro" w:hAnsi="Minion Pro"/>
          <w:color w:val="auto"/>
          <w:sz w:val="24"/>
        </w:rPr>
      </w:pPr>
      <w:r w:rsidRPr="00E1298A">
        <w:rPr>
          <w:rFonts w:ascii="Minion Pro" w:hAnsi="Minion Pro"/>
          <w:color w:val="auto"/>
          <w:sz w:val="24"/>
        </w:rPr>
        <w:t xml:space="preserve">They can promote immediate feedback. </w:t>
      </w:r>
    </w:p>
    <w:p w14:paraId="455E6AAF" w14:textId="4823E6C0" w:rsidR="00E1298A" w:rsidRPr="00E1298A" w:rsidRDefault="00E1298A" w:rsidP="00A92EAC">
      <w:pPr>
        <w:spacing w:line="360" w:lineRule="auto"/>
        <w:jc w:val="both"/>
        <w:rPr>
          <w:rFonts w:ascii="Minion Pro" w:hAnsi="Minion Pro"/>
          <w:color w:val="auto"/>
          <w:sz w:val="24"/>
        </w:rPr>
      </w:pPr>
      <w:r w:rsidRPr="00E1298A">
        <w:rPr>
          <w:rFonts w:ascii="Minion Pro" w:hAnsi="Minion Pro"/>
          <w:color w:val="auto"/>
          <w:sz w:val="24"/>
        </w:rPr>
        <w:t xml:space="preserve">It is important to note that the digital medium does not erase the challenges of paper-based portfolios. For example, students still battle with reflective writing, how to select artefacts to </w:t>
      </w:r>
      <w:r w:rsidRPr="00E1298A">
        <w:rPr>
          <w:rFonts w:ascii="Minion Pro" w:hAnsi="Minion Pro"/>
          <w:color w:val="auto"/>
          <w:sz w:val="24"/>
        </w:rPr>
        <w:lastRenderedPageBreak/>
        <w:t xml:space="preserve">include as appropriate forms of evidence and how to provide constructive feedback to peers. </w:t>
      </w:r>
      <w:r>
        <w:rPr>
          <w:rFonts w:ascii="Minion Pro" w:hAnsi="Minion Pro"/>
          <w:color w:val="auto"/>
          <w:sz w:val="24"/>
        </w:rPr>
        <w:t xml:space="preserve"> </w:t>
      </w:r>
      <w:r w:rsidRPr="00E1298A">
        <w:rPr>
          <w:rFonts w:ascii="Minion Pro" w:hAnsi="Minion Pro"/>
          <w:color w:val="auto"/>
          <w:sz w:val="24"/>
        </w:rPr>
        <w:t xml:space="preserve">Figure 1 illustrates the process of developing and using an ePortfolio. </w:t>
      </w:r>
    </w:p>
    <w:p w14:paraId="522F8C32" w14:textId="77777777" w:rsidR="00E1298A" w:rsidRPr="00D43D3E" w:rsidRDefault="00E1298A" w:rsidP="00E1298A">
      <w:pPr>
        <w:spacing w:line="360" w:lineRule="auto"/>
        <w:jc w:val="center"/>
        <w:rPr>
          <w:color w:val="auto"/>
        </w:rPr>
      </w:pPr>
      <w:r>
        <w:rPr>
          <w:noProof/>
          <w:sz w:val="16"/>
          <w:szCs w:val="16"/>
        </w:rPr>
        <w:drawing>
          <wp:inline distT="0" distB="0" distL="0" distR="0" wp14:anchorId="44084C44" wp14:editId="0D629F47">
            <wp:extent cx="2429301" cy="2429301"/>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p_diagram-edited.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429301" cy="2429301"/>
                    </a:xfrm>
                    <a:prstGeom prst="rect">
                      <a:avLst/>
                    </a:prstGeom>
                  </pic:spPr>
                </pic:pic>
              </a:graphicData>
            </a:graphic>
          </wp:inline>
        </w:drawing>
      </w:r>
    </w:p>
    <w:p w14:paraId="05224517" w14:textId="24582606" w:rsidR="00E1298A" w:rsidRPr="00E1298A" w:rsidRDefault="00E1298A" w:rsidP="00E1298A">
      <w:pPr>
        <w:spacing w:line="360" w:lineRule="auto"/>
        <w:jc w:val="center"/>
        <w:rPr>
          <w:rFonts w:ascii="Minion Pro" w:hAnsi="Minion Pro"/>
          <w:color w:val="auto"/>
        </w:rPr>
      </w:pPr>
      <w:r w:rsidRPr="00E1298A">
        <w:rPr>
          <w:rFonts w:ascii="Minion Pro" w:hAnsi="Minion Pro"/>
          <w:b/>
          <w:color w:val="auto"/>
          <w:sz w:val="24"/>
        </w:rPr>
        <w:t>Figure 1: Process</w:t>
      </w:r>
      <w:r w:rsidRPr="00E1298A">
        <w:rPr>
          <w:rStyle w:val="FootnoteReference"/>
          <w:rFonts w:ascii="Minion Pro" w:hAnsi="Minion Pro"/>
          <w:b/>
          <w:color w:val="auto"/>
          <w:sz w:val="24"/>
        </w:rPr>
        <w:footnoteReference w:id="1"/>
      </w:r>
      <w:r w:rsidRPr="00E1298A">
        <w:rPr>
          <w:rFonts w:ascii="Minion Pro" w:hAnsi="Minion Pro"/>
          <w:b/>
          <w:color w:val="auto"/>
          <w:sz w:val="24"/>
        </w:rPr>
        <w:t xml:space="preserve"> for developing and using an ePortfolio</w:t>
      </w:r>
    </w:p>
    <w:p w14:paraId="0EC13E8D" w14:textId="77777777" w:rsidR="00E1298A" w:rsidRPr="00E1298A" w:rsidRDefault="00E1298A" w:rsidP="00E1298A">
      <w:pPr>
        <w:spacing w:line="360" w:lineRule="auto"/>
        <w:rPr>
          <w:rFonts w:ascii="Minion Pro" w:hAnsi="Minion Pro"/>
          <w:color w:val="auto"/>
          <w:sz w:val="24"/>
        </w:rPr>
      </w:pPr>
    </w:p>
    <w:p w14:paraId="26896DBB" w14:textId="77777777" w:rsidR="00E1298A" w:rsidRPr="00E1298A" w:rsidRDefault="00E1298A" w:rsidP="00A92EAC">
      <w:pPr>
        <w:spacing w:line="360" w:lineRule="auto"/>
        <w:jc w:val="both"/>
        <w:rPr>
          <w:rFonts w:ascii="Minion Pro" w:hAnsi="Minion Pro"/>
          <w:color w:val="auto"/>
        </w:rPr>
      </w:pPr>
      <w:r w:rsidRPr="00E1298A">
        <w:rPr>
          <w:rFonts w:ascii="Minion Pro" w:hAnsi="Minion Pro"/>
          <w:color w:val="auto"/>
          <w:sz w:val="24"/>
        </w:rPr>
        <w:t>Within the learning process users are expected to store digital resources and develop a digital archive of evidence which is selected for a particular purpose. Users motivate the inclusion of selected artefacts and support such selections with critical reflections. Essential to ePortfolio practice remains the collaborative process, where users give and receive feedback, in order to present to a particular audience. The ePortfolio (product) celebrates learning, serves as evidence of personal planning, demonstrates newly acquired skills or attributes or supplements a job application (Becta 2007).</w:t>
      </w:r>
    </w:p>
    <w:p w14:paraId="014375DB" w14:textId="77777777" w:rsidR="00E1298A" w:rsidRPr="00E1298A" w:rsidRDefault="00E1298A" w:rsidP="00A92EAC">
      <w:pPr>
        <w:spacing w:line="360" w:lineRule="auto"/>
        <w:jc w:val="both"/>
        <w:rPr>
          <w:rFonts w:ascii="Minion Pro" w:hAnsi="Minion Pro"/>
          <w:color w:val="auto"/>
        </w:rPr>
      </w:pPr>
    </w:p>
    <w:p w14:paraId="140CFAA6" w14:textId="77777777" w:rsidR="00E1298A" w:rsidRPr="00E1298A" w:rsidRDefault="00E1298A" w:rsidP="00A92EAC">
      <w:pPr>
        <w:spacing w:line="360" w:lineRule="auto"/>
        <w:jc w:val="both"/>
        <w:rPr>
          <w:rFonts w:ascii="Minion Pro" w:hAnsi="Minion Pro"/>
          <w:color w:val="auto"/>
        </w:rPr>
      </w:pPr>
      <w:r w:rsidRPr="00E1298A">
        <w:rPr>
          <w:rFonts w:ascii="Minion Pro" w:hAnsi="Minion Pro"/>
          <w:color w:val="auto"/>
          <w:sz w:val="24"/>
        </w:rPr>
        <w:t xml:space="preserve">Specific types of ePortfolios can be defined in part by their purpose (such as presentation, application, reflection, assessment and personal development planning), pedagogic design, level of structure (intrinsic or extrinsic), duration (episodic or lifelong) and other factors. Four types of ePortfolios are usually used in higher education: </w:t>
      </w:r>
    </w:p>
    <w:p w14:paraId="50F86C99" w14:textId="77777777" w:rsidR="00E1298A" w:rsidRPr="00E1298A" w:rsidRDefault="00E1298A" w:rsidP="00A92EAC">
      <w:pPr>
        <w:widowControl w:val="0"/>
        <w:numPr>
          <w:ilvl w:val="0"/>
          <w:numId w:val="12"/>
        </w:numPr>
        <w:spacing w:line="360" w:lineRule="auto"/>
        <w:ind w:hanging="359"/>
        <w:contextualSpacing/>
        <w:jc w:val="both"/>
        <w:rPr>
          <w:rFonts w:ascii="Minion Pro" w:hAnsi="Minion Pro"/>
          <w:color w:val="auto"/>
          <w:sz w:val="24"/>
        </w:rPr>
      </w:pPr>
      <w:r w:rsidRPr="00E1298A">
        <w:rPr>
          <w:rFonts w:ascii="Minion Pro" w:hAnsi="Minion Pro"/>
          <w:b/>
          <w:color w:val="auto"/>
          <w:sz w:val="24"/>
        </w:rPr>
        <w:t>Working portfolios:</w:t>
      </w:r>
      <w:r w:rsidRPr="00E1298A">
        <w:rPr>
          <w:rFonts w:ascii="Minion Pro" w:hAnsi="Minion Pro"/>
          <w:color w:val="auto"/>
          <w:sz w:val="24"/>
        </w:rPr>
        <w:t xml:space="preserve"> These portfolios are also known as development or process portfolios, where students are supported in their planning, organisation and development of learning. </w:t>
      </w:r>
    </w:p>
    <w:p w14:paraId="656B1B0F" w14:textId="77777777" w:rsidR="00E1298A" w:rsidRPr="00E1298A" w:rsidRDefault="00E1298A" w:rsidP="00A92EAC">
      <w:pPr>
        <w:widowControl w:val="0"/>
        <w:numPr>
          <w:ilvl w:val="0"/>
          <w:numId w:val="12"/>
        </w:numPr>
        <w:spacing w:line="360" w:lineRule="auto"/>
        <w:ind w:hanging="359"/>
        <w:contextualSpacing/>
        <w:jc w:val="both"/>
        <w:rPr>
          <w:rFonts w:ascii="Minion Pro" w:hAnsi="Minion Pro"/>
          <w:color w:val="auto"/>
          <w:sz w:val="24"/>
        </w:rPr>
      </w:pPr>
      <w:r w:rsidRPr="00E1298A">
        <w:rPr>
          <w:rFonts w:ascii="Minion Pro" w:hAnsi="Minion Pro"/>
          <w:b/>
          <w:color w:val="auto"/>
          <w:sz w:val="24"/>
        </w:rPr>
        <w:lastRenderedPageBreak/>
        <w:t>Assessment portfolios:</w:t>
      </w:r>
      <w:r w:rsidRPr="00E1298A">
        <w:rPr>
          <w:rFonts w:ascii="Minion Pro" w:hAnsi="Minion Pro"/>
          <w:color w:val="auto"/>
          <w:sz w:val="24"/>
        </w:rPr>
        <w:t xml:space="preserve"> These portfolios provide teachers with an alternative way of assessing selected learning outcomes other than the standardised examinations, tests and assignments. Such portfolios could also be appropriate for final programme assessment. </w:t>
      </w:r>
    </w:p>
    <w:p w14:paraId="58F9FF24" w14:textId="77777777" w:rsidR="00E1298A" w:rsidRPr="00E1298A" w:rsidRDefault="00E1298A" w:rsidP="00A92EAC">
      <w:pPr>
        <w:widowControl w:val="0"/>
        <w:numPr>
          <w:ilvl w:val="0"/>
          <w:numId w:val="12"/>
        </w:numPr>
        <w:spacing w:line="360" w:lineRule="auto"/>
        <w:ind w:hanging="359"/>
        <w:contextualSpacing/>
        <w:jc w:val="both"/>
        <w:rPr>
          <w:rFonts w:ascii="Minion Pro" w:hAnsi="Minion Pro"/>
          <w:color w:val="auto"/>
          <w:sz w:val="24"/>
        </w:rPr>
      </w:pPr>
      <w:r w:rsidRPr="00E1298A">
        <w:rPr>
          <w:rFonts w:ascii="Minion Pro" w:hAnsi="Minion Pro"/>
          <w:b/>
          <w:color w:val="auto"/>
          <w:sz w:val="24"/>
        </w:rPr>
        <w:t xml:space="preserve">Presentation portfolios: </w:t>
      </w:r>
      <w:r w:rsidRPr="00E1298A">
        <w:rPr>
          <w:rFonts w:ascii="Minion Pro" w:hAnsi="Minion Pro"/>
          <w:color w:val="auto"/>
          <w:sz w:val="24"/>
        </w:rPr>
        <w:t xml:space="preserve">This type of portfolio is normally associated with a professional development portfolio, where students demonstrate their achievements, skills and competencies. </w:t>
      </w:r>
    </w:p>
    <w:p w14:paraId="09BDE91D" w14:textId="77777777" w:rsidR="00E1298A" w:rsidRPr="00E1298A" w:rsidRDefault="00E1298A" w:rsidP="00A92EAC">
      <w:pPr>
        <w:widowControl w:val="0"/>
        <w:numPr>
          <w:ilvl w:val="0"/>
          <w:numId w:val="12"/>
        </w:numPr>
        <w:spacing w:line="360" w:lineRule="auto"/>
        <w:ind w:hanging="359"/>
        <w:contextualSpacing/>
        <w:jc w:val="both"/>
        <w:rPr>
          <w:rFonts w:ascii="Minion Pro" w:hAnsi="Minion Pro"/>
          <w:color w:val="auto"/>
          <w:sz w:val="24"/>
        </w:rPr>
      </w:pPr>
      <w:r w:rsidRPr="00E1298A">
        <w:rPr>
          <w:rFonts w:ascii="Minion Pro" w:hAnsi="Minion Pro"/>
          <w:b/>
          <w:color w:val="auto"/>
          <w:sz w:val="24"/>
        </w:rPr>
        <w:t>Hybrid portfolios:</w:t>
      </w:r>
      <w:r w:rsidRPr="00E1298A">
        <w:rPr>
          <w:rFonts w:ascii="Minion Pro" w:hAnsi="Minion Pro"/>
          <w:color w:val="auto"/>
          <w:sz w:val="24"/>
        </w:rPr>
        <w:t xml:space="preserve"> It is rare in practice that portfolios are only used for one particular purpose. Often, teachers decide to combine the features of certain portfolios (Jimoyiannis 2012). </w:t>
      </w:r>
    </w:p>
    <w:p w14:paraId="55A4B9A0" w14:textId="77777777" w:rsidR="00E1298A" w:rsidRPr="00D43D3E" w:rsidRDefault="00E1298A" w:rsidP="00E1298A">
      <w:pPr>
        <w:spacing w:line="360" w:lineRule="auto"/>
        <w:rPr>
          <w:color w:val="auto"/>
        </w:rPr>
      </w:pPr>
    </w:p>
    <w:p w14:paraId="2B7222E4" w14:textId="77777777" w:rsidR="00E1298A" w:rsidRPr="00E1298A" w:rsidRDefault="00E1298A" w:rsidP="00E1298A">
      <w:pPr>
        <w:spacing w:line="360" w:lineRule="auto"/>
        <w:rPr>
          <w:rFonts w:ascii="Minion Pro" w:hAnsi="Minion Pro"/>
          <w:b/>
          <w:color w:val="auto"/>
        </w:rPr>
      </w:pPr>
      <w:r w:rsidRPr="00E1298A">
        <w:rPr>
          <w:rFonts w:ascii="Minion Pro" w:hAnsi="Minion Pro"/>
          <w:b/>
          <w:color w:val="auto"/>
          <w:sz w:val="24"/>
        </w:rPr>
        <w:t xml:space="preserve">Table 1: Forms of online showcasing often confused with ePortfolios </w:t>
      </w:r>
    </w:p>
    <w:tbl>
      <w:tblPr>
        <w:tblStyle w:val="MediumGrid3"/>
        <w:tblW w:w="8760" w:type="dxa"/>
        <w:tblLayout w:type="fixed"/>
        <w:tblLook w:val="0600" w:firstRow="0" w:lastRow="0" w:firstColumn="0" w:lastColumn="0" w:noHBand="1" w:noVBand="1"/>
      </w:tblPr>
      <w:tblGrid>
        <w:gridCol w:w="2753"/>
        <w:gridCol w:w="6007"/>
      </w:tblGrid>
      <w:tr w:rsidR="00E1298A" w:rsidRPr="00E1298A" w14:paraId="3321C695" w14:textId="77777777" w:rsidTr="00986858">
        <w:trPr>
          <w:trHeight w:val="643"/>
        </w:trPr>
        <w:tc>
          <w:tcPr>
            <w:tcW w:w="2753" w:type="dxa"/>
            <w:tcBorders>
              <w:bottom w:val="single" w:sz="6" w:space="0" w:color="FFFFFF" w:themeColor="background1"/>
            </w:tcBorders>
          </w:tcPr>
          <w:p w14:paraId="54B150A8" w14:textId="77777777" w:rsidR="00E1298A" w:rsidRPr="00B66D99" w:rsidRDefault="00E1298A" w:rsidP="00E1298A">
            <w:pPr>
              <w:spacing w:line="240" w:lineRule="auto"/>
              <w:rPr>
                <w:rFonts w:ascii="Minion Pro" w:hAnsi="Minion Pro"/>
                <w:b/>
                <w:color w:val="auto"/>
              </w:rPr>
            </w:pPr>
            <w:r w:rsidRPr="00B66D99">
              <w:rPr>
                <w:rFonts w:ascii="Minion Pro" w:hAnsi="Minion Pro"/>
                <w:b/>
                <w:color w:val="auto"/>
                <w:sz w:val="24"/>
              </w:rPr>
              <w:t>Online repository</w:t>
            </w:r>
          </w:p>
        </w:tc>
        <w:tc>
          <w:tcPr>
            <w:tcW w:w="6007" w:type="dxa"/>
            <w:tcBorders>
              <w:bottom w:val="single" w:sz="6" w:space="0" w:color="FFFFFF" w:themeColor="background1"/>
            </w:tcBorders>
          </w:tcPr>
          <w:p w14:paraId="31700FFA" w14:textId="77777777" w:rsidR="00E1298A" w:rsidRPr="00E1298A" w:rsidRDefault="00E1298A" w:rsidP="00E1298A">
            <w:pPr>
              <w:spacing w:line="240" w:lineRule="auto"/>
              <w:rPr>
                <w:rFonts w:ascii="Minion Pro" w:hAnsi="Minion Pro"/>
                <w:color w:val="auto"/>
              </w:rPr>
            </w:pPr>
            <w:r w:rsidRPr="00E1298A">
              <w:rPr>
                <w:rFonts w:ascii="Minion Pro" w:hAnsi="Minion Pro"/>
                <w:color w:val="auto"/>
                <w:sz w:val="24"/>
              </w:rPr>
              <w:t>A decontextualised collection of student work presented as links to documents and other artefacts</w:t>
            </w:r>
          </w:p>
        </w:tc>
      </w:tr>
      <w:tr w:rsidR="00E1298A" w:rsidRPr="00E1298A" w14:paraId="679D4DCF" w14:textId="77777777" w:rsidTr="00986858">
        <w:trPr>
          <w:trHeight w:val="620"/>
        </w:trPr>
        <w:tc>
          <w:tcPr>
            <w:tcW w:w="2753" w:type="dxa"/>
            <w:tcBorders>
              <w:top w:val="single" w:sz="6" w:space="0" w:color="FFFFFF" w:themeColor="background1"/>
              <w:bottom w:val="single" w:sz="6" w:space="0" w:color="FFFFFF" w:themeColor="background1"/>
            </w:tcBorders>
            <w:shd w:val="clear" w:color="auto" w:fill="E0E0E0"/>
          </w:tcPr>
          <w:p w14:paraId="31CC1706" w14:textId="77777777" w:rsidR="00E1298A" w:rsidRPr="00B66D99" w:rsidRDefault="00E1298A" w:rsidP="00E1298A">
            <w:pPr>
              <w:spacing w:line="240" w:lineRule="auto"/>
              <w:rPr>
                <w:rFonts w:ascii="Minion Pro" w:hAnsi="Minion Pro"/>
                <w:b/>
                <w:color w:val="auto"/>
              </w:rPr>
            </w:pPr>
            <w:r w:rsidRPr="00B66D99">
              <w:rPr>
                <w:rFonts w:ascii="Minion Pro" w:hAnsi="Minion Pro"/>
                <w:b/>
                <w:color w:val="auto"/>
                <w:sz w:val="24"/>
              </w:rPr>
              <w:t>Online CV</w:t>
            </w:r>
          </w:p>
        </w:tc>
        <w:tc>
          <w:tcPr>
            <w:tcW w:w="6007" w:type="dxa"/>
            <w:tcBorders>
              <w:top w:val="single" w:sz="6" w:space="0" w:color="FFFFFF" w:themeColor="background1"/>
              <w:bottom w:val="single" w:sz="6" w:space="0" w:color="FFFFFF" w:themeColor="background1"/>
            </w:tcBorders>
            <w:shd w:val="clear" w:color="auto" w:fill="E0E0E0"/>
          </w:tcPr>
          <w:p w14:paraId="7D9C134C" w14:textId="77777777" w:rsidR="00E1298A" w:rsidRPr="00E1298A" w:rsidRDefault="00E1298A" w:rsidP="00E1298A">
            <w:pPr>
              <w:spacing w:line="240" w:lineRule="auto"/>
              <w:rPr>
                <w:rFonts w:ascii="Minion Pro" w:hAnsi="Minion Pro"/>
                <w:color w:val="auto"/>
              </w:rPr>
            </w:pPr>
            <w:r w:rsidRPr="00E1298A">
              <w:rPr>
                <w:rFonts w:ascii="Minion Pro" w:hAnsi="Minion Pro"/>
                <w:color w:val="auto"/>
                <w:sz w:val="24"/>
              </w:rPr>
              <w:t>A digital version of a CV in a traditional format or presented visually as an infographic</w:t>
            </w:r>
          </w:p>
        </w:tc>
      </w:tr>
      <w:tr w:rsidR="00E1298A" w:rsidRPr="00E1298A" w14:paraId="1A5523AB" w14:textId="77777777" w:rsidTr="00986858">
        <w:trPr>
          <w:trHeight w:val="298"/>
        </w:trPr>
        <w:tc>
          <w:tcPr>
            <w:tcW w:w="2753" w:type="dxa"/>
            <w:tcBorders>
              <w:top w:val="single" w:sz="6" w:space="0" w:color="FFFFFF" w:themeColor="background1"/>
              <w:bottom w:val="single" w:sz="6" w:space="0" w:color="FFFFFF" w:themeColor="background1"/>
            </w:tcBorders>
          </w:tcPr>
          <w:p w14:paraId="18BEDA24" w14:textId="77777777" w:rsidR="00E1298A" w:rsidRPr="00B66D99" w:rsidRDefault="00E1298A" w:rsidP="00E1298A">
            <w:pPr>
              <w:spacing w:line="240" w:lineRule="auto"/>
              <w:rPr>
                <w:rFonts w:ascii="Minion Pro" w:hAnsi="Minion Pro"/>
                <w:b/>
                <w:color w:val="auto"/>
              </w:rPr>
            </w:pPr>
            <w:r w:rsidRPr="00B66D99">
              <w:rPr>
                <w:rFonts w:ascii="Minion Pro" w:hAnsi="Minion Pro"/>
                <w:b/>
                <w:color w:val="auto"/>
                <w:sz w:val="24"/>
              </w:rPr>
              <w:t>LinkedIn</w:t>
            </w:r>
          </w:p>
        </w:tc>
        <w:tc>
          <w:tcPr>
            <w:tcW w:w="6007" w:type="dxa"/>
            <w:tcBorders>
              <w:top w:val="single" w:sz="6" w:space="0" w:color="FFFFFF" w:themeColor="background1"/>
              <w:bottom w:val="single" w:sz="6" w:space="0" w:color="FFFFFF" w:themeColor="background1"/>
            </w:tcBorders>
          </w:tcPr>
          <w:p w14:paraId="6CC345AE" w14:textId="77777777" w:rsidR="00E1298A" w:rsidRPr="00E1298A" w:rsidRDefault="00E1298A" w:rsidP="00E1298A">
            <w:pPr>
              <w:spacing w:line="240" w:lineRule="auto"/>
              <w:rPr>
                <w:rFonts w:ascii="Minion Pro" w:hAnsi="Minion Pro"/>
                <w:color w:val="auto"/>
              </w:rPr>
            </w:pPr>
            <w:r w:rsidRPr="00E1298A">
              <w:rPr>
                <w:rFonts w:ascii="Minion Pro" w:hAnsi="Minion Pro"/>
                <w:color w:val="auto"/>
                <w:sz w:val="24"/>
              </w:rPr>
              <w:t>A social networking service used for professional networking</w:t>
            </w:r>
          </w:p>
        </w:tc>
      </w:tr>
      <w:tr w:rsidR="00E1298A" w:rsidRPr="00E1298A" w14:paraId="26F30989" w14:textId="77777777" w:rsidTr="00986858">
        <w:trPr>
          <w:trHeight w:val="1287"/>
        </w:trPr>
        <w:tc>
          <w:tcPr>
            <w:tcW w:w="2753" w:type="dxa"/>
            <w:tcBorders>
              <w:top w:val="single" w:sz="6" w:space="0" w:color="FFFFFF" w:themeColor="background1"/>
              <w:bottom w:val="single" w:sz="8" w:space="0" w:color="FFFFFF" w:themeColor="background1"/>
            </w:tcBorders>
            <w:shd w:val="clear" w:color="auto" w:fill="E0E0E0"/>
          </w:tcPr>
          <w:p w14:paraId="4F46098C" w14:textId="77777777" w:rsidR="00E1298A" w:rsidRPr="00B66D99" w:rsidRDefault="00E1298A" w:rsidP="00E1298A">
            <w:pPr>
              <w:spacing w:line="240" w:lineRule="auto"/>
              <w:rPr>
                <w:rFonts w:ascii="Minion Pro" w:hAnsi="Minion Pro"/>
                <w:b/>
                <w:color w:val="auto"/>
              </w:rPr>
            </w:pPr>
            <w:r w:rsidRPr="00B66D99">
              <w:rPr>
                <w:rFonts w:ascii="Minion Pro" w:hAnsi="Minion Pro"/>
                <w:b/>
                <w:color w:val="auto"/>
                <w:sz w:val="24"/>
              </w:rPr>
              <w:t>Blog (or weblog)</w:t>
            </w:r>
          </w:p>
        </w:tc>
        <w:tc>
          <w:tcPr>
            <w:tcW w:w="6007" w:type="dxa"/>
            <w:tcBorders>
              <w:top w:val="single" w:sz="6" w:space="0" w:color="FFFFFF" w:themeColor="background1"/>
              <w:bottom w:val="single" w:sz="8" w:space="0" w:color="FFFFFF" w:themeColor="background1"/>
            </w:tcBorders>
            <w:shd w:val="clear" w:color="auto" w:fill="E0E0E0"/>
          </w:tcPr>
          <w:p w14:paraId="4CE92310" w14:textId="77777777" w:rsidR="00E1298A" w:rsidRPr="00E1298A" w:rsidRDefault="00E1298A" w:rsidP="00E1298A">
            <w:pPr>
              <w:spacing w:line="240" w:lineRule="auto"/>
              <w:rPr>
                <w:rFonts w:ascii="Minion Pro" w:hAnsi="Minion Pro"/>
                <w:color w:val="auto"/>
              </w:rPr>
            </w:pPr>
            <w:r w:rsidRPr="00E1298A">
              <w:rPr>
                <w:rFonts w:ascii="Minion Pro" w:hAnsi="Minion Pro"/>
                <w:color w:val="auto"/>
                <w:sz w:val="24"/>
              </w:rPr>
              <w:t>A public online space featuring regularly updated posts or diary-like commentary in reverse chronological order, usually written in a conversational style. This form is often used for idea or field logs and reflective writing.</w:t>
            </w:r>
          </w:p>
        </w:tc>
      </w:tr>
    </w:tbl>
    <w:p w14:paraId="54C195C0" w14:textId="77777777" w:rsidR="00E1298A" w:rsidRPr="00D43D3E" w:rsidRDefault="00E1298A" w:rsidP="00E1298A">
      <w:pPr>
        <w:spacing w:line="360" w:lineRule="auto"/>
        <w:rPr>
          <w:color w:val="auto"/>
        </w:rPr>
      </w:pPr>
    </w:p>
    <w:p w14:paraId="219ABD72" w14:textId="77777777" w:rsidR="00E1298A" w:rsidRPr="00B66D99" w:rsidRDefault="00E1298A" w:rsidP="00A92EAC">
      <w:pPr>
        <w:spacing w:line="360" w:lineRule="auto"/>
        <w:jc w:val="both"/>
        <w:rPr>
          <w:rFonts w:ascii="Minion Pro" w:hAnsi="Minion Pro"/>
          <w:color w:val="auto"/>
          <w:sz w:val="24"/>
        </w:rPr>
      </w:pPr>
      <w:r w:rsidRPr="00B66D99">
        <w:rPr>
          <w:rFonts w:ascii="Minion Pro" w:hAnsi="Minion Pro"/>
          <w:color w:val="auto"/>
          <w:sz w:val="24"/>
        </w:rPr>
        <w:t xml:space="preserve">The forms of online showcasing listed in Table 1 are highly linked and may be considered as part of a broader ePortfolio ecology but they do not necessarily qualify as ePortfolios in their own right. Students may wish to share their ePortfolio as a link on LinkedIn, add their online CVs to their ePortfolio, etc. However, the boundaries between these are blurring, as blogging platforms may be appropriated to create ePortfolios, and LinkedIn and other existing tools are continually adding new features that make them more like ePortfolios. </w:t>
      </w:r>
    </w:p>
    <w:p w14:paraId="07C5881F" w14:textId="77777777" w:rsidR="00B66D99" w:rsidRDefault="00B66D99" w:rsidP="00E1298A">
      <w:pPr>
        <w:spacing w:line="360" w:lineRule="auto"/>
        <w:rPr>
          <w:color w:val="auto"/>
        </w:rPr>
      </w:pPr>
    </w:p>
    <w:p w14:paraId="4C7A78FC" w14:textId="77777777" w:rsidR="00411E7B" w:rsidRDefault="00411E7B" w:rsidP="00E1298A">
      <w:pPr>
        <w:spacing w:line="360" w:lineRule="auto"/>
        <w:rPr>
          <w:color w:val="auto"/>
        </w:rPr>
      </w:pPr>
    </w:p>
    <w:p w14:paraId="11802F9F" w14:textId="77777777" w:rsidR="00411E7B" w:rsidRPr="00D43D3E" w:rsidRDefault="00411E7B" w:rsidP="00E1298A">
      <w:pPr>
        <w:spacing w:line="360" w:lineRule="auto"/>
        <w:rPr>
          <w:color w:val="auto"/>
        </w:rPr>
      </w:pPr>
    </w:p>
    <w:p w14:paraId="486277F5" w14:textId="77777777" w:rsidR="00E1298A" w:rsidRPr="00B66D99" w:rsidRDefault="00E1298A" w:rsidP="00B66D99">
      <w:pPr>
        <w:rPr>
          <w:rFonts w:ascii="Minion Pro" w:hAnsi="Minion Pro"/>
          <w:b/>
          <w:color w:val="76923C" w:themeColor="accent3" w:themeShade="BF"/>
          <w:sz w:val="44"/>
          <w:szCs w:val="44"/>
        </w:rPr>
      </w:pPr>
      <w:r w:rsidRPr="00B66D99">
        <w:rPr>
          <w:rFonts w:ascii="Minion Pro" w:hAnsi="Minion Pro"/>
          <w:b/>
          <w:color w:val="76923C" w:themeColor="accent3" w:themeShade="BF"/>
          <w:sz w:val="44"/>
          <w:szCs w:val="44"/>
        </w:rPr>
        <w:lastRenderedPageBreak/>
        <w:t>Reasons for ePortfolio adoption</w:t>
      </w:r>
    </w:p>
    <w:p w14:paraId="2A98CE09" w14:textId="5CBA2951" w:rsidR="00E1298A" w:rsidRDefault="00E1298A" w:rsidP="00986858">
      <w:pPr>
        <w:spacing w:line="360" w:lineRule="auto"/>
        <w:jc w:val="both"/>
        <w:rPr>
          <w:rFonts w:ascii="Minion Pro" w:hAnsi="Minion Pro"/>
          <w:color w:val="auto"/>
          <w:sz w:val="24"/>
        </w:rPr>
      </w:pPr>
      <w:r w:rsidRPr="00B66D99">
        <w:rPr>
          <w:rFonts w:ascii="Minion Pro" w:hAnsi="Minion Pro"/>
          <w:color w:val="auto"/>
          <w:sz w:val="24"/>
        </w:rPr>
        <w:t xml:space="preserve">EPortfolios have multiple purposes, benefits and challenges, depending on their context of use. At programme level, an ePortfolio may be used to track student development and connections over time, across courses and programmes and to instil values of lifelong, self-directed learning and professional development. At course level, ePortfolios may be introduced under the auspices of professional benefit, formative and summative assessment, continuous professional development and/or career planning. In other spaces, such as teacher education, the main purpose may be reflective practice, as student teachers are encouraged to reflect on their learning. </w:t>
      </w:r>
    </w:p>
    <w:p w14:paraId="7DAF9297" w14:textId="77777777" w:rsidR="00411E7B" w:rsidRPr="00B66D99" w:rsidRDefault="00411E7B" w:rsidP="00986858">
      <w:pPr>
        <w:spacing w:line="360" w:lineRule="auto"/>
        <w:jc w:val="both"/>
        <w:rPr>
          <w:rFonts w:ascii="Minion Pro" w:hAnsi="Minion Pro"/>
          <w:color w:val="auto"/>
        </w:rPr>
      </w:pPr>
    </w:p>
    <w:p w14:paraId="4324F57A" w14:textId="77777777" w:rsidR="00E1298A" w:rsidRPr="00B66D99" w:rsidRDefault="00E1298A" w:rsidP="00A92EAC">
      <w:pPr>
        <w:spacing w:line="360" w:lineRule="auto"/>
        <w:jc w:val="both"/>
        <w:rPr>
          <w:rFonts w:ascii="Minion Pro" w:hAnsi="Minion Pro"/>
          <w:color w:val="auto"/>
        </w:rPr>
      </w:pPr>
      <w:r w:rsidRPr="00B66D99">
        <w:rPr>
          <w:rFonts w:ascii="Minion Pro" w:hAnsi="Minion Pro"/>
          <w:color w:val="auto"/>
          <w:sz w:val="24"/>
        </w:rPr>
        <w:t>In terms of assessment, both paper-based portfolios and ePortfolios can be used in many ways, depending on what assessment strategy is advocated and the learning theory implicit therein (for more on this, see Kooperberg 2014). However, in many spaces, the focus tends to be on the end product (destination) rather than the process (the journey). Where assessed, ePortfolios are still regarded as products for alternative assessment and have not yet fully entered the ‘mainstream’ in SA.</w:t>
      </w:r>
    </w:p>
    <w:p w14:paraId="7BEA2AB9" w14:textId="77777777" w:rsidR="00E1298A" w:rsidRPr="00D43D3E" w:rsidRDefault="00E1298A" w:rsidP="00E1298A">
      <w:pPr>
        <w:spacing w:line="360" w:lineRule="auto"/>
        <w:rPr>
          <w:color w:val="auto"/>
        </w:rPr>
      </w:pPr>
    </w:p>
    <w:p w14:paraId="61760081" w14:textId="77777777" w:rsidR="00E1298A" w:rsidRPr="00D43D3E" w:rsidRDefault="00E1298A" w:rsidP="00B66D99">
      <w:r w:rsidRPr="00B66D99">
        <w:rPr>
          <w:rFonts w:ascii="Minion Pro" w:hAnsi="Minion Pro"/>
          <w:b/>
          <w:color w:val="76923C" w:themeColor="accent3" w:themeShade="BF"/>
          <w:sz w:val="44"/>
          <w:szCs w:val="44"/>
        </w:rPr>
        <w:t>Affordances</w:t>
      </w:r>
    </w:p>
    <w:p w14:paraId="06FE341A" w14:textId="77777777" w:rsidR="00E1298A" w:rsidRPr="00B66D99" w:rsidRDefault="00E1298A" w:rsidP="00A92EAC">
      <w:pPr>
        <w:spacing w:line="360" w:lineRule="auto"/>
        <w:jc w:val="both"/>
        <w:rPr>
          <w:rFonts w:ascii="Minion Pro" w:hAnsi="Minion Pro"/>
          <w:color w:val="auto"/>
          <w:sz w:val="24"/>
        </w:rPr>
      </w:pPr>
      <w:r w:rsidRPr="00B66D99">
        <w:rPr>
          <w:rFonts w:ascii="Minion Pro" w:hAnsi="Minion Pro"/>
          <w:color w:val="auto"/>
          <w:sz w:val="24"/>
        </w:rPr>
        <w:t xml:space="preserve">EPortfolios take various forms and can be created using institutional platforms, open source applications (for example, Mahara) or free or paid commercial tools (for example, a blogging platform like Blogger or WordPress). Despite the choice of platform or tool, which may differ visually, the ePortfolio concept is shared across them. This shapes the affordances to a large extent, rather than by default of the technology. </w:t>
      </w:r>
    </w:p>
    <w:p w14:paraId="612177C0" w14:textId="77777777" w:rsidR="00E1298A" w:rsidRPr="00D43D3E" w:rsidRDefault="00E1298A" w:rsidP="00E1298A">
      <w:pPr>
        <w:spacing w:line="360" w:lineRule="auto"/>
        <w:rPr>
          <w:color w:val="auto"/>
        </w:rPr>
      </w:pPr>
    </w:p>
    <w:p w14:paraId="5BFBE454" w14:textId="77777777" w:rsidR="00E1298A" w:rsidRPr="00B66D99" w:rsidRDefault="00E1298A" w:rsidP="00B66D99">
      <w:pPr>
        <w:rPr>
          <w:rFonts w:ascii="Minion Pro" w:hAnsi="Minion Pro"/>
          <w:b/>
          <w:color w:val="76923C" w:themeColor="accent3" w:themeShade="BF"/>
          <w:sz w:val="44"/>
          <w:szCs w:val="44"/>
        </w:rPr>
      </w:pPr>
      <w:r w:rsidRPr="00B66D99">
        <w:rPr>
          <w:rFonts w:ascii="Minion Pro" w:hAnsi="Minion Pro"/>
          <w:b/>
          <w:color w:val="76923C" w:themeColor="accent3" w:themeShade="BF"/>
          <w:sz w:val="44"/>
          <w:szCs w:val="44"/>
        </w:rPr>
        <w:t>Integrating ePortfolios into learning practices</w:t>
      </w:r>
    </w:p>
    <w:p w14:paraId="697353B6" w14:textId="77777777" w:rsidR="00E1298A" w:rsidRPr="00B66D99" w:rsidRDefault="00E1298A" w:rsidP="00A92EAC">
      <w:pPr>
        <w:spacing w:line="360" w:lineRule="auto"/>
        <w:jc w:val="both"/>
        <w:rPr>
          <w:rFonts w:ascii="Minion Pro" w:hAnsi="Minion Pro"/>
          <w:sz w:val="24"/>
          <w:szCs w:val="24"/>
        </w:rPr>
      </w:pPr>
      <w:r w:rsidRPr="00B66D99">
        <w:rPr>
          <w:rFonts w:ascii="Minion Pro" w:hAnsi="Minion Pro"/>
          <w:sz w:val="24"/>
          <w:szCs w:val="24"/>
        </w:rPr>
        <w:t xml:space="preserve">Curricular integration and implementation that takes both technology and pedagogy into account is key to integrating ePortfolios into learning practices. </w:t>
      </w:r>
    </w:p>
    <w:p w14:paraId="085F6E39" w14:textId="77777777" w:rsidR="00E1298A" w:rsidRPr="005A56CD" w:rsidRDefault="00E1298A" w:rsidP="00E1298A"/>
    <w:p w14:paraId="501432E9" w14:textId="77777777" w:rsidR="00E1298A" w:rsidRPr="00B66D99" w:rsidRDefault="00E1298A" w:rsidP="00B66D99">
      <w:pPr>
        <w:rPr>
          <w:rFonts w:ascii="Minion Pro" w:hAnsi="Minion Pro"/>
          <w:b/>
          <w:color w:val="76923C" w:themeColor="accent3" w:themeShade="BF"/>
          <w:sz w:val="40"/>
          <w:szCs w:val="40"/>
        </w:rPr>
      </w:pPr>
      <w:r w:rsidRPr="00B66D99">
        <w:rPr>
          <w:rFonts w:ascii="Minion Pro" w:hAnsi="Minion Pro"/>
          <w:b/>
          <w:color w:val="76923C" w:themeColor="accent3" w:themeShade="BF"/>
          <w:sz w:val="40"/>
          <w:szCs w:val="40"/>
        </w:rPr>
        <w:lastRenderedPageBreak/>
        <w:t>Challenges associated with ePortfolio integration</w:t>
      </w:r>
    </w:p>
    <w:p w14:paraId="31F1E2F2" w14:textId="77777777" w:rsidR="00E1298A" w:rsidRPr="00B66D99" w:rsidRDefault="00E1298A" w:rsidP="00A92EAC">
      <w:pPr>
        <w:spacing w:line="360" w:lineRule="auto"/>
        <w:jc w:val="both"/>
        <w:rPr>
          <w:rFonts w:ascii="Minion Pro" w:hAnsi="Minion Pro"/>
          <w:color w:val="auto"/>
        </w:rPr>
      </w:pPr>
      <w:r w:rsidRPr="00B66D99">
        <w:rPr>
          <w:rFonts w:ascii="Minion Pro" w:hAnsi="Minion Pro"/>
          <w:color w:val="auto"/>
          <w:sz w:val="24"/>
        </w:rPr>
        <w:t>At both strategic and programme levels it remains imperative that role-players clearly conceptualise how ePortfolios could be sustainably integrated into existing and lifelong learning practices (Jimoyiannis 2012). From a pedagogical perspective, challenges are often associated with conceptualising the meaning of ‘reflection’ and the roles of users and academics within a particular learning environment (Jimoyiannis 2012). Student support should not only aim to develop reflective, self-assessment and meta-cognitive skills, but also appropriate digital literacy skills to sensibly utilise chosen platforms for these learning practices (Goldsmith 2007). In addition, attention should be paid to student motivational factors for successful integration of such learning practices (Tosh &amp; Werdmuller 2004). Support initiatives should also be in place regarding the development of academics’ digital literacy skills. Appropriate training and support resources should be in place before students are introduced to ePortfolios.</w:t>
      </w:r>
    </w:p>
    <w:p w14:paraId="279C30A3" w14:textId="77777777" w:rsidR="00E1298A" w:rsidRPr="00D43D3E" w:rsidRDefault="00E1298A" w:rsidP="00E1298A">
      <w:pPr>
        <w:spacing w:line="360" w:lineRule="auto"/>
        <w:rPr>
          <w:color w:val="auto"/>
        </w:rPr>
      </w:pPr>
    </w:p>
    <w:p w14:paraId="2E02A513" w14:textId="77777777" w:rsidR="00E1298A" w:rsidRPr="00B66D99" w:rsidRDefault="00E1298A" w:rsidP="00B66D99">
      <w:pPr>
        <w:rPr>
          <w:rFonts w:ascii="Minion Pro" w:hAnsi="Minion Pro"/>
          <w:b/>
          <w:color w:val="76923C" w:themeColor="accent3" w:themeShade="BF"/>
          <w:sz w:val="40"/>
          <w:szCs w:val="40"/>
        </w:rPr>
      </w:pPr>
      <w:r w:rsidRPr="00B66D99">
        <w:rPr>
          <w:rFonts w:ascii="Minion Pro" w:hAnsi="Minion Pro"/>
          <w:b/>
          <w:color w:val="76923C" w:themeColor="accent3" w:themeShade="BF"/>
          <w:sz w:val="40"/>
          <w:szCs w:val="40"/>
        </w:rPr>
        <w:t>Current international trends and regional examples of successful integration</w:t>
      </w:r>
    </w:p>
    <w:p w14:paraId="368384CC" w14:textId="77777777" w:rsidR="00E1298A" w:rsidRPr="00B66D99" w:rsidRDefault="00E1298A" w:rsidP="00A92EAC">
      <w:pPr>
        <w:spacing w:line="360" w:lineRule="auto"/>
        <w:jc w:val="both"/>
        <w:rPr>
          <w:rFonts w:ascii="Minion Pro" w:hAnsi="Minion Pro"/>
          <w:color w:val="auto"/>
        </w:rPr>
      </w:pPr>
      <w:r w:rsidRPr="00B66D99">
        <w:rPr>
          <w:rFonts w:ascii="Minion Pro" w:hAnsi="Minion Pro"/>
          <w:color w:val="auto"/>
          <w:sz w:val="24"/>
        </w:rPr>
        <w:t>Both internationally and locally, ePortfolios appear to be most commonly used in professional degrees (Education, Architecture, Health Sciences, Engineering, Graphic Design). This may be due to the presence of professional bodies and standards for quality assurance and accreditation, which are used to guide criteria for selecting and presenting evidence on an ePortfolio. Some of these fields also have a history of paper-based portfolios, and ePortfolios can be used to enhance the reflective or evidence-based learning and showcasing aspect of paper-based portfolios. More recently, there has been a trend towards career portfolios, encouraging professionalism through the showcase of employability and graduate attributes. Locally, paper-based portfolios still continue to be the norm in Higher Education Institutions (HEIs), with a few cases where ePortfolios are used.</w:t>
      </w:r>
    </w:p>
    <w:p w14:paraId="6E8A571B" w14:textId="77777777" w:rsidR="00E1298A" w:rsidRPr="00D43D3E" w:rsidRDefault="00E1298A" w:rsidP="00E1298A">
      <w:pPr>
        <w:spacing w:line="360" w:lineRule="auto"/>
        <w:rPr>
          <w:color w:val="auto"/>
        </w:rPr>
      </w:pPr>
    </w:p>
    <w:p w14:paraId="4C3C8E36" w14:textId="77777777" w:rsidR="00E1298A" w:rsidRPr="00B66D99" w:rsidRDefault="00E1298A" w:rsidP="00B66D99">
      <w:pPr>
        <w:rPr>
          <w:rFonts w:ascii="Minion Pro" w:hAnsi="Minion Pro"/>
          <w:b/>
          <w:color w:val="76923C" w:themeColor="accent3" w:themeShade="BF"/>
          <w:sz w:val="44"/>
          <w:szCs w:val="44"/>
        </w:rPr>
      </w:pPr>
      <w:r w:rsidRPr="00B66D99">
        <w:rPr>
          <w:rFonts w:ascii="Minion Pro" w:hAnsi="Minion Pro"/>
          <w:b/>
          <w:color w:val="76923C" w:themeColor="accent3" w:themeShade="BF"/>
          <w:sz w:val="44"/>
          <w:szCs w:val="44"/>
        </w:rPr>
        <w:lastRenderedPageBreak/>
        <w:t>Current use in South African contexts: A regional perspective</w:t>
      </w:r>
    </w:p>
    <w:p w14:paraId="0DF2FB6C" w14:textId="330964F4" w:rsidR="00E1298A" w:rsidRDefault="00E1298A" w:rsidP="00A92EAC">
      <w:pPr>
        <w:spacing w:line="360" w:lineRule="auto"/>
        <w:jc w:val="both"/>
        <w:rPr>
          <w:rFonts w:ascii="Minion Pro" w:hAnsi="Minion Pro"/>
          <w:color w:val="auto"/>
          <w:sz w:val="24"/>
        </w:rPr>
      </w:pPr>
      <w:r w:rsidRPr="00B66D99">
        <w:rPr>
          <w:rFonts w:ascii="Minion Pro" w:hAnsi="Minion Pro"/>
          <w:color w:val="auto"/>
          <w:sz w:val="24"/>
        </w:rPr>
        <w:t xml:space="preserve">The uptake of the ePortfolio concept has been most common in professional degrees, thus mirroring international trends. The table below provides a selection of local HEIs and course contexts where ePortfolios are currently being used. The majority of these ePortfolio initiatives are ongoing. For many, 2015 will be the second or third year of ePortfolio integration. Details about the scale (number of students), support involved, choice of platform and rationale behind the integration and accompanying technological decisions are provided. </w:t>
      </w:r>
    </w:p>
    <w:p w14:paraId="5397B506" w14:textId="77777777" w:rsidR="00411E7B" w:rsidRDefault="00411E7B" w:rsidP="00A92EAC">
      <w:pPr>
        <w:spacing w:line="360" w:lineRule="auto"/>
        <w:jc w:val="both"/>
        <w:rPr>
          <w:rFonts w:ascii="Minion Pro" w:hAnsi="Minion Pro"/>
          <w:color w:val="auto"/>
          <w:sz w:val="24"/>
        </w:rPr>
      </w:pPr>
    </w:p>
    <w:p w14:paraId="7E087EEB" w14:textId="77777777" w:rsidR="00411E7B" w:rsidRPr="00B66D99" w:rsidRDefault="00411E7B" w:rsidP="00A92EAC">
      <w:pPr>
        <w:spacing w:line="360" w:lineRule="auto"/>
        <w:jc w:val="both"/>
        <w:rPr>
          <w:rFonts w:ascii="Minion Pro" w:hAnsi="Minion Pro"/>
          <w:color w:val="auto"/>
        </w:rPr>
      </w:pPr>
    </w:p>
    <w:p w14:paraId="3DA4238B" w14:textId="77777777" w:rsidR="00E1298A" w:rsidRPr="00B66D99" w:rsidRDefault="00E1298A" w:rsidP="00E1298A">
      <w:pPr>
        <w:spacing w:line="360" w:lineRule="auto"/>
        <w:rPr>
          <w:rFonts w:ascii="Minion Pro" w:hAnsi="Minion Pro"/>
          <w:b/>
          <w:color w:val="auto"/>
        </w:rPr>
      </w:pPr>
      <w:r w:rsidRPr="00B66D99">
        <w:rPr>
          <w:rFonts w:ascii="Minion Pro" w:hAnsi="Minion Pro"/>
          <w:b/>
          <w:color w:val="auto"/>
          <w:sz w:val="24"/>
        </w:rPr>
        <w:t>Table 2: Regional ePortfolio overview</w:t>
      </w:r>
      <w:r w:rsidRPr="00B66D99">
        <w:rPr>
          <w:rStyle w:val="FootnoteReference"/>
          <w:rFonts w:ascii="Minion Pro" w:hAnsi="Minion Pro"/>
          <w:b/>
          <w:color w:val="auto"/>
          <w:sz w:val="24"/>
        </w:rPr>
        <w:footnoteReference w:id="2"/>
      </w:r>
    </w:p>
    <w:tbl>
      <w:tblPr>
        <w:tblStyle w:val="MediumGrid3"/>
        <w:tblW w:w="8897" w:type="dxa"/>
        <w:tblLayout w:type="fixed"/>
        <w:tblLook w:val="0600" w:firstRow="0" w:lastRow="0" w:firstColumn="0" w:lastColumn="0" w:noHBand="1" w:noVBand="1"/>
      </w:tblPr>
      <w:tblGrid>
        <w:gridCol w:w="2415"/>
        <w:gridCol w:w="3420"/>
        <w:gridCol w:w="1786"/>
        <w:gridCol w:w="1276"/>
      </w:tblGrid>
      <w:tr w:rsidR="00E1298A" w:rsidRPr="00B66D99" w14:paraId="7A08363A" w14:textId="77777777" w:rsidTr="00986858">
        <w:tc>
          <w:tcPr>
            <w:tcW w:w="2415" w:type="dxa"/>
            <w:tcBorders>
              <w:bottom w:val="single" w:sz="6" w:space="0" w:color="FFFFFF" w:themeColor="background1"/>
            </w:tcBorders>
          </w:tcPr>
          <w:p w14:paraId="5CF46602" w14:textId="77777777" w:rsidR="00E1298A" w:rsidRPr="0012285D" w:rsidRDefault="00E1298A" w:rsidP="0012285D">
            <w:pPr>
              <w:spacing w:line="240" w:lineRule="auto"/>
              <w:jc w:val="center"/>
              <w:rPr>
                <w:rFonts w:ascii="Minion Pro" w:hAnsi="Minion Pro"/>
                <w:b/>
                <w:color w:val="auto"/>
              </w:rPr>
            </w:pPr>
            <w:r w:rsidRPr="0012285D">
              <w:rPr>
                <w:rFonts w:ascii="Minion Pro" w:hAnsi="Minion Pro"/>
                <w:b/>
                <w:i/>
                <w:color w:val="auto"/>
              </w:rPr>
              <w:t>Short description of course context, faculty, name of SA HEI</w:t>
            </w:r>
          </w:p>
        </w:tc>
        <w:tc>
          <w:tcPr>
            <w:tcW w:w="3420" w:type="dxa"/>
            <w:tcBorders>
              <w:bottom w:val="single" w:sz="6" w:space="0" w:color="FFFFFF" w:themeColor="background1"/>
            </w:tcBorders>
          </w:tcPr>
          <w:p w14:paraId="26FA44C0" w14:textId="0A72B0D9" w:rsidR="00E1298A" w:rsidRPr="0012285D" w:rsidRDefault="00E1298A" w:rsidP="0012285D">
            <w:pPr>
              <w:spacing w:line="240" w:lineRule="auto"/>
              <w:jc w:val="center"/>
              <w:rPr>
                <w:rFonts w:ascii="Minion Pro" w:hAnsi="Minion Pro"/>
                <w:b/>
                <w:color w:val="auto"/>
              </w:rPr>
            </w:pPr>
            <w:r w:rsidRPr="0012285D">
              <w:rPr>
                <w:rFonts w:ascii="Minion Pro" w:hAnsi="Minion Pro"/>
                <w:b/>
                <w:i/>
                <w:color w:val="auto"/>
              </w:rPr>
              <w:t>Aim of ePortfolio integration</w:t>
            </w:r>
          </w:p>
        </w:tc>
        <w:tc>
          <w:tcPr>
            <w:tcW w:w="1786" w:type="dxa"/>
            <w:tcBorders>
              <w:bottom w:val="single" w:sz="6" w:space="0" w:color="FFFFFF" w:themeColor="background1"/>
            </w:tcBorders>
          </w:tcPr>
          <w:p w14:paraId="6A2C5469" w14:textId="77777777" w:rsidR="00E1298A" w:rsidRPr="0012285D" w:rsidRDefault="00E1298A" w:rsidP="0012285D">
            <w:pPr>
              <w:spacing w:line="240" w:lineRule="auto"/>
              <w:jc w:val="center"/>
              <w:rPr>
                <w:rFonts w:ascii="Minion Pro" w:hAnsi="Minion Pro"/>
                <w:b/>
                <w:color w:val="auto"/>
              </w:rPr>
            </w:pPr>
            <w:r w:rsidRPr="0012285D">
              <w:rPr>
                <w:rFonts w:ascii="Minion Pro" w:hAnsi="Minion Pro"/>
                <w:b/>
                <w:i/>
                <w:color w:val="auto"/>
              </w:rPr>
              <w:t>Number of students</w:t>
            </w:r>
          </w:p>
        </w:tc>
        <w:tc>
          <w:tcPr>
            <w:tcW w:w="1276" w:type="dxa"/>
            <w:tcBorders>
              <w:bottom w:val="single" w:sz="6" w:space="0" w:color="FFFFFF" w:themeColor="background1"/>
            </w:tcBorders>
          </w:tcPr>
          <w:p w14:paraId="41AF381B" w14:textId="77777777" w:rsidR="00E1298A" w:rsidRPr="0012285D" w:rsidRDefault="00E1298A" w:rsidP="0012285D">
            <w:pPr>
              <w:spacing w:line="240" w:lineRule="auto"/>
              <w:jc w:val="center"/>
              <w:rPr>
                <w:rFonts w:ascii="Minion Pro" w:hAnsi="Minion Pro"/>
                <w:b/>
                <w:color w:val="auto"/>
              </w:rPr>
            </w:pPr>
            <w:r w:rsidRPr="0012285D">
              <w:rPr>
                <w:rFonts w:ascii="Minion Pro" w:hAnsi="Minion Pro"/>
                <w:b/>
                <w:i/>
                <w:color w:val="auto"/>
              </w:rPr>
              <w:t>Platform or tool used</w:t>
            </w:r>
          </w:p>
        </w:tc>
      </w:tr>
      <w:tr w:rsidR="00E1298A" w:rsidRPr="00B66D99" w14:paraId="74D76039" w14:textId="77777777" w:rsidTr="00986858">
        <w:tc>
          <w:tcPr>
            <w:tcW w:w="2415" w:type="dxa"/>
            <w:tcBorders>
              <w:top w:val="single" w:sz="6" w:space="0" w:color="FFFFFF" w:themeColor="background1"/>
              <w:bottom w:val="single" w:sz="6" w:space="0" w:color="FFFFFF" w:themeColor="background1"/>
            </w:tcBorders>
            <w:shd w:val="clear" w:color="auto" w:fill="E0E0E0"/>
          </w:tcPr>
          <w:p w14:paraId="281547C8"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PGDip e-Marketing course BUS4074S, Commerce Faculty, UCT</w:t>
            </w:r>
          </w:p>
        </w:tc>
        <w:tc>
          <w:tcPr>
            <w:tcW w:w="3420" w:type="dxa"/>
            <w:tcBorders>
              <w:top w:val="single" w:sz="6" w:space="0" w:color="FFFFFF" w:themeColor="background1"/>
              <w:bottom w:val="single" w:sz="6" w:space="0" w:color="FFFFFF" w:themeColor="background1"/>
            </w:tcBorders>
            <w:shd w:val="clear" w:color="auto" w:fill="E0E0E0"/>
          </w:tcPr>
          <w:p w14:paraId="536F8F1C"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 xml:space="preserve">Students build their own personal online brand and publish small authentic learning tasks that can be viewed by industry partners. </w:t>
            </w:r>
          </w:p>
        </w:tc>
        <w:tc>
          <w:tcPr>
            <w:tcW w:w="1786" w:type="dxa"/>
            <w:tcBorders>
              <w:top w:val="single" w:sz="6" w:space="0" w:color="FFFFFF" w:themeColor="background1"/>
              <w:bottom w:val="single" w:sz="6" w:space="0" w:color="FFFFFF" w:themeColor="background1"/>
            </w:tcBorders>
            <w:shd w:val="clear" w:color="auto" w:fill="E0E0E0"/>
          </w:tcPr>
          <w:p w14:paraId="79D1FBA3"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94</w:t>
            </w:r>
          </w:p>
        </w:tc>
        <w:tc>
          <w:tcPr>
            <w:tcW w:w="1276" w:type="dxa"/>
            <w:tcBorders>
              <w:top w:val="single" w:sz="6" w:space="0" w:color="FFFFFF" w:themeColor="background1"/>
              <w:bottom w:val="single" w:sz="6" w:space="0" w:color="FFFFFF" w:themeColor="background1"/>
            </w:tcBorders>
            <w:shd w:val="clear" w:color="auto" w:fill="E0E0E0"/>
          </w:tcPr>
          <w:p w14:paraId="07AF8D96"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WordPress</w:t>
            </w:r>
          </w:p>
        </w:tc>
      </w:tr>
      <w:tr w:rsidR="00E1298A" w:rsidRPr="00B66D99" w14:paraId="3900F168" w14:textId="77777777" w:rsidTr="00986858">
        <w:tc>
          <w:tcPr>
            <w:tcW w:w="2415" w:type="dxa"/>
            <w:tcBorders>
              <w:top w:val="single" w:sz="6" w:space="0" w:color="FFFFFF" w:themeColor="background1"/>
              <w:bottom w:val="single" w:sz="6" w:space="0" w:color="FFFFFF" w:themeColor="background1"/>
            </w:tcBorders>
          </w:tcPr>
          <w:p w14:paraId="05935569"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‘Online Learning Design’ PGDip EDN4501W, School of Education, UCT</w:t>
            </w:r>
          </w:p>
        </w:tc>
        <w:tc>
          <w:tcPr>
            <w:tcW w:w="3420" w:type="dxa"/>
            <w:tcBorders>
              <w:top w:val="single" w:sz="6" w:space="0" w:color="FFFFFF" w:themeColor="background1"/>
              <w:bottom w:val="single" w:sz="6" w:space="0" w:color="FFFFFF" w:themeColor="background1"/>
            </w:tcBorders>
          </w:tcPr>
          <w:p w14:paraId="00404370"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 xml:space="preserve">Students present their learning design as an ePortfolio, bringing together different aspects of their design thinking. </w:t>
            </w:r>
          </w:p>
        </w:tc>
        <w:tc>
          <w:tcPr>
            <w:tcW w:w="1786" w:type="dxa"/>
            <w:tcBorders>
              <w:top w:val="single" w:sz="6" w:space="0" w:color="FFFFFF" w:themeColor="background1"/>
              <w:bottom w:val="single" w:sz="6" w:space="0" w:color="FFFFFF" w:themeColor="background1"/>
            </w:tcBorders>
          </w:tcPr>
          <w:p w14:paraId="3C67CC32"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20</w:t>
            </w:r>
          </w:p>
        </w:tc>
        <w:tc>
          <w:tcPr>
            <w:tcW w:w="1276" w:type="dxa"/>
            <w:tcBorders>
              <w:top w:val="single" w:sz="6" w:space="0" w:color="FFFFFF" w:themeColor="background1"/>
              <w:bottom w:val="single" w:sz="6" w:space="0" w:color="FFFFFF" w:themeColor="background1"/>
            </w:tcBorders>
          </w:tcPr>
          <w:p w14:paraId="75116FF5"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Students may choose, but typically Weebly, Google Sites, WordPress or Wix.</w:t>
            </w:r>
          </w:p>
        </w:tc>
      </w:tr>
      <w:tr w:rsidR="00E1298A" w:rsidRPr="00B66D99" w14:paraId="0C2E85B2" w14:textId="77777777" w:rsidTr="00986858">
        <w:tc>
          <w:tcPr>
            <w:tcW w:w="2415" w:type="dxa"/>
            <w:tcBorders>
              <w:top w:val="single" w:sz="6" w:space="0" w:color="FFFFFF" w:themeColor="background1"/>
              <w:bottom w:val="single" w:sz="6" w:space="0" w:color="FFFFFF" w:themeColor="background1"/>
            </w:tcBorders>
            <w:shd w:val="clear" w:color="auto" w:fill="E0E0E0"/>
          </w:tcPr>
          <w:p w14:paraId="7439EFBB"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Professional Ethics in Physiotherapy (PHT402), UWC</w:t>
            </w:r>
          </w:p>
        </w:tc>
        <w:tc>
          <w:tcPr>
            <w:tcW w:w="3420" w:type="dxa"/>
            <w:tcBorders>
              <w:top w:val="single" w:sz="6" w:space="0" w:color="FFFFFF" w:themeColor="background1"/>
              <w:bottom w:val="single" w:sz="6" w:space="0" w:color="FFFFFF" w:themeColor="background1"/>
            </w:tcBorders>
            <w:shd w:val="clear" w:color="auto" w:fill="E0E0E0"/>
          </w:tcPr>
          <w:p w14:paraId="6DAEC7AD"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Students used blogs as learning portfolios, and aggregated content from around the web to support their claims of learning.</w:t>
            </w:r>
          </w:p>
        </w:tc>
        <w:tc>
          <w:tcPr>
            <w:tcW w:w="1786" w:type="dxa"/>
            <w:tcBorders>
              <w:top w:val="single" w:sz="6" w:space="0" w:color="FFFFFF" w:themeColor="background1"/>
              <w:bottom w:val="single" w:sz="6" w:space="0" w:color="FFFFFF" w:themeColor="background1"/>
            </w:tcBorders>
            <w:shd w:val="clear" w:color="auto" w:fill="E0E0E0"/>
          </w:tcPr>
          <w:p w14:paraId="652F23AB"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56 undergraduate physio students and 28 qualified physiotherapists from around the world</w:t>
            </w:r>
          </w:p>
        </w:tc>
        <w:tc>
          <w:tcPr>
            <w:tcW w:w="1276" w:type="dxa"/>
            <w:tcBorders>
              <w:top w:val="single" w:sz="6" w:space="0" w:color="FFFFFF" w:themeColor="background1"/>
              <w:bottom w:val="single" w:sz="6" w:space="0" w:color="FFFFFF" w:themeColor="background1"/>
            </w:tcBorders>
            <w:shd w:val="clear" w:color="auto" w:fill="E0E0E0"/>
          </w:tcPr>
          <w:p w14:paraId="5C783FA5"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WordPress</w:t>
            </w:r>
          </w:p>
        </w:tc>
      </w:tr>
      <w:tr w:rsidR="00E1298A" w:rsidRPr="00B66D99" w14:paraId="0F0BAE6B" w14:textId="77777777" w:rsidTr="00986858">
        <w:trPr>
          <w:trHeight w:val="1278"/>
        </w:trPr>
        <w:tc>
          <w:tcPr>
            <w:tcW w:w="2415" w:type="dxa"/>
            <w:tcBorders>
              <w:top w:val="single" w:sz="6" w:space="0" w:color="FFFFFF" w:themeColor="background1"/>
              <w:bottom w:val="single" w:sz="6" w:space="0" w:color="FFFFFF" w:themeColor="background1"/>
            </w:tcBorders>
          </w:tcPr>
          <w:p w14:paraId="6FCBAE97"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lastRenderedPageBreak/>
              <w:t>Architectural Technology, CPUT</w:t>
            </w:r>
          </w:p>
        </w:tc>
        <w:tc>
          <w:tcPr>
            <w:tcW w:w="3420" w:type="dxa"/>
            <w:tcBorders>
              <w:top w:val="single" w:sz="6" w:space="0" w:color="FFFFFF" w:themeColor="background1"/>
              <w:bottom w:val="single" w:sz="6" w:space="0" w:color="FFFFFF" w:themeColor="background1"/>
            </w:tcBorders>
          </w:tcPr>
          <w:p w14:paraId="73F5C825"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Students develop portfolios of their projects, particularly of those done during their work placements. There is a multimedia dimension to the ePortfolio in architecture and design.</w:t>
            </w:r>
          </w:p>
        </w:tc>
        <w:tc>
          <w:tcPr>
            <w:tcW w:w="1786" w:type="dxa"/>
            <w:tcBorders>
              <w:top w:val="single" w:sz="6" w:space="0" w:color="FFFFFF" w:themeColor="background1"/>
              <w:bottom w:val="single" w:sz="6" w:space="0" w:color="FFFFFF" w:themeColor="background1"/>
            </w:tcBorders>
          </w:tcPr>
          <w:p w14:paraId="370C25DC"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60 undergraduate students</w:t>
            </w:r>
          </w:p>
        </w:tc>
        <w:tc>
          <w:tcPr>
            <w:tcW w:w="1276" w:type="dxa"/>
            <w:tcBorders>
              <w:top w:val="single" w:sz="6" w:space="0" w:color="FFFFFF" w:themeColor="background1"/>
              <w:bottom w:val="single" w:sz="6" w:space="0" w:color="FFFFFF" w:themeColor="background1"/>
            </w:tcBorders>
          </w:tcPr>
          <w:p w14:paraId="68152A7B"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Blogger</w:t>
            </w:r>
          </w:p>
        </w:tc>
      </w:tr>
      <w:tr w:rsidR="00E1298A" w:rsidRPr="00B66D99" w14:paraId="7E386334" w14:textId="77777777" w:rsidTr="00986858">
        <w:tc>
          <w:tcPr>
            <w:tcW w:w="2415" w:type="dxa"/>
            <w:tcBorders>
              <w:top w:val="single" w:sz="6" w:space="0" w:color="FFFFFF" w:themeColor="background1"/>
              <w:bottom w:val="single" w:sz="6" w:space="0" w:color="FFFFFF" w:themeColor="background1"/>
            </w:tcBorders>
            <w:shd w:val="clear" w:color="auto" w:fill="E0E0E0"/>
          </w:tcPr>
          <w:p w14:paraId="4E2EEA67"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Graphic Design, CPUT</w:t>
            </w:r>
          </w:p>
        </w:tc>
        <w:tc>
          <w:tcPr>
            <w:tcW w:w="3420" w:type="dxa"/>
            <w:tcBorders>
              <w:top w:val="single" w:sz="6" w:space="0" w:color="FFFFFF" w:themeColor="background1"/>
              <w:bottom w:val="single" w:sz="6" w:space="0" w:color="FFFFFF" w:themeColor="background1"/>
            </w:tcBorders>
            <w:shd w:val="clear" w:color="auto" w:fill="E0E0E0"/>
          </w:tcPr>
          <w:p w14:paraId="78E35FB6"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As there is no institutional ePortfolio platform for CPUT, students built their own online presence to showcase their work and promote their skills to employers. They also archived their design work.</w:t>
            </w:r>
          </w:p>
        </w:tc>
        <w:tc>
          <w:tcPr>
            <w:tcW w:w="1786" w:type="dxa"/>
            <w:tcBorders>
              <w:top w:val="single" w:sz="6" w:space="0" w:color="FFFFFF" w:themeColor="background1"/>
              <w:bottom w:val="single" w:sz="6" w:space="0" w:color="FFFFFF" w:themeColor="background1"/>
            </w:tcBorders>
            <w:shd w:val="clear" w:color="auto" w:fill="E0E0E0"/>
          </w:tcPr>
          <w:p w14:paraId="45DBB158"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10 Bachelor of Technology students (ePortfolio is not mandatory in the curriculum so this is student agency, although all students have to build a paper-based portfolio, which is exhibited for assessment at the end of their year of study)</w:t>
            </w:r>
          </w:p>
        </w:tc>
        <w:tc>
          <w:tcPr>
            <w:tcW w:w="1276" w:type="dxa"/>
            <w:tcBorders>
              <w:top w:val="single" w:sz="6" w:space="0" w:color="FFFFFF" w:themeColor="background1"/>
              <w:bottom w:val="single" w:sz="6" w:space="0" w:color="FFFFFF" w:themeColor="background1"/>
            </w:tcBorders>
            <w:shd w:val="clear" w:color="auto" w:fill="E0E0E0"/>
          </w:tcPr>
          <w:p w14:paraId="182F49EC"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Personal websites,</w:t>
            </w:r>
          </w:p>
          <w:p w14:paraId="6933AB1D"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Design portfolio websites, such as Behance, Deviant Art and Carbonmade</w:t>
            </w:r>
          </w:p>
        </w:tc>
      </w:tr>
      <w:tr w:rsidR="00E1298A" w:rsidRPr="00B66D99" w14:paraId="5C84A7DE" w14:textId="77777777" w:rsidTr="00986858">
        <w:trPr>
          <w:trHeight w:val="2217"/>
        </w:trPr>
        <w:tc>
          <w:tcPr>
            <w:tcW w:w="2415" w:type="dxa"/>
            <w:tcBorders>
              <w:top w:val="single" w:sz="6" w:space="0" w:color="FFFFFF" w:themeColor="background1"/>
              <w:bottom w:val="single" w:sz="6" w:space="0" w:color="FFFFFF" w:themeColor="background1"/>
            </w:tcBorders>
          </w:tcPr>
          <w:p w14:paraId="5442C2C4"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Industrial Psychology 152 (Occupational Therapy), Faculty of Economic and Management Sciences, Stellenbosch University</w:t>
            </w:r>
          </w:p>
          <w:p w14:paraId="2036C33B" w14:textId="77777777" w:rsidR="00E1298A" w:rsidRPr="00B66D99" w:rsidRDefault="00E1298A" w:rsidP="00E1298A">
            <w:pPr>
              <w:spacing w:line="240" w:lineRule="auto"/>
              <w:rPr>
                <w:rFonts w:ascii="Minion Pro" w:hAnsi="Minion Pro"/>
                <w:color w:val="auto"/>
              </w:rPr>
            </w:pPr>
          </w:p>
        </w:tc>
        <w:tc>
          <w:tcPr>
            <w:tcW w:w="3420" w:type="dxa"/>
            <w:tcBorders>
              <w:top w:val="single" w:sz="6" w:space="0" w:color="FFFFFF" w:themeColor="background1"/>
              <w:bottom w:val="single" w:sz="6" w:space="0" w:color="FFFFFF" w:themeColor="background1"/>
            </w:tcBorders>
          </w:tcPr>
          <w:p w14:paraId="6FEC62BB"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 xml:space="preserve">Students are encouraged to actively reflect on the content of the module and engage in the application of theory. They post their reflections (guided by posted questions) on the ePortfolio system, Mahara. Honours students then act as assessors and review the short reflections, posting comments and asking questions. </w:t>
            </w:r>
          </w:p>
          <w:p w14:paraId="5A9497E4" w14:textId="77777777" w:rsidR="00E1298A" w:rsidRPr="00B66D99" w:rsidRDefault="00E1298A" w:rsidP="00E1298A">
            <w:pPr>
              <w:spacing w:line="240" w:lineRule="auto"/>
              <w:rPr>
                <w:rFonts w:ascii="Minion Pro" w:hAnsi="Minion Pro"/>
                <w:color w:val="auto"/>
              </w:rPr>
            </w:pPr>
          </w:p>
        </w:tc>
        <w:tc>
          <w:tcPr>
            <w:tcW w:w="1786" w:type="dxa"/>
            <w:tcBorders>
              <w:top w:val="single" w:sz="6" w:space="0" w:color="FFFFFF" w:themeColor="background1"/>
              <w:bottom w:val="single" w:sz="6" w:space="0" w:color="FFFFFF" w:themeColor="background1"/>
            </w:tcBorders>
          </w:tcPr>
          <w:p w14:paraId="1193FEB1"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300 students from various programmes, including industrial psychology, business management sciences, human resource management, philosophy, politics and economics</w:t>
            </w:r>
          </w:p>
        </w:tc>
        <w:tc>
          <w:tcPr>
            <w:tcW w:w="1276" w:type="dxa"/>
            <w:tcBorders>
              <w:top w:val="single" w:sz="6" w:space="0" w:color="FFFFFF" w:themeColor="background1"/>
              <w:bottom w:val="single" w:sz="6" w:space="0" w:color="FFFFFF" w:themeColor="background1"/>
            </w:tcBorders>
          </w:tcPr>
          <w:p w14:paraId="759E7F40"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Mahara</w:t>
            </w:r>
          </w:p>
        </w:tc>
      </w:tr>
      <w:tr w:rsidR="00E1298A" w:rsidRPr="00B66D99" w14:paraId="0F91C8F8" w14:textId="77777777" w:rsidTr="00986858">
        <w:tc>
          <w:tcPr>
            <w:tcW w:w="2415" w:type="dxa"/>
            <w:tcBorders>
              <w:top w:val="single" w:sz="6" w:space="0" w:color="FFFFFF" w:themeColor="background1"/>
              <w:bottom w:val="single" w:sz="8" w:space="0" w:color="FFFFFF" w:themeColor="background1"/>
            </w:tcBorders>
            <w:shd w:val="clear" w:color="auto" w:fill="E0E0E0"/>
          </w:tcPr>
          <w:p w14:paraId="6828E5F5"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PGCE, Faculty of Education, Stellenbosch University</w:t>
            </w:r>
          </w:p>
        </w:tc>
        <w:tc>
          <w:tcPr>
            <w:tcW w:w="3420" w:type="dxa"/>
            <w:tcBorders>
              <w:top w:val="single" w:sz="6" w:space="0" w:color="FFFFFF" w:themeColor="background1"/>
              <w:bottom w:val="single" w:sz="8" w:space="0" w:color="FFFFFF" w:themeColor="background1"/>
            </w:tcBorders>
            <w:shd w:val="clear" w:color="auto" w:fill="E0E0E0"/>
          </w:tcPr>
          <w:p w14:paraId="040AE0F1"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 xml:space="preserve">A pilot group of students were equipped with tablets to use during their school practice visits in the third term. Students had to complete weekly reflections and also comment on each other’s posts (reflections) during their time in school. </w:t>
            </w:r>
          </w:p>
        </w:tc>
        <w:tc>
          <w:tcPr>
            <w:tcW w:w="1786" w:type="dxa"/>
            <w:tcBorders>
              <w:top w:val="single" w:sz="6" w:space="0" w:color="FFFFFF" w:themeColor="background1"/>
              <w:bottom w:val="single" w:sz="8" w:space="0" w:color="FFFFFF" w:themeColor="background1"/>
            </w:tcBorders>
            <w:shd w:val="clear" w:color="auto" w:fill="E0E0E0"/>
          </w:tcPr>
          <w:p w14:paraId="30643779"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11 PGCE students</w:t>
            </w:r>
          </w:p>
        </w:tc>
        <w:tc>
          <w:tcPr>
            <w:tcW w:w="1276" w:type="dxa"/>
            <w:tcBorders>
              <w:top w:val="single" w:sz="6" w:space="0" w:color="FFFFFF" w:themeColor="background1"/>
              <w:bottom w:val="single" w:sz="8" w:space="0" w:color="FFFFFF" w:themeColor="background1"/>
            </w:tcBorders>
            <w:shd w:val="clear" w:color="auto" w:fill="E0E0E0"/>
          </w:tcPr>
          <w:p w14:paraId="0FB0E019" w14:textId="77777777" w:rsidR="00E1298A" w:rsidRPr="00B66D99" w:rsidRDefault="00E1298A" w:rsidP="00E1298A">
            <w:pPr>
              <w:spacing w:line="240" w:lineRule="auto"/>
              <w:rPr>
                <w:rFonts w:ascii="Minion Pro" w:hAnsi="Minion Pro"/>
                <w:color w:val="auto"/>
              </w:rPr>
            </w:pPr>
            <w:r w:rsidRPr="00B66D99">
              <w:rPr>
                <w:rFonts w:ascii="Minion Pro" w:hAnsi="Minion Pro"/>
                <w:color w:val="auto"/>
                <w:sz w:val="20"/>
              </w:rPr>
              <w:t>Blogger</w:t>
            </w:r>
          </w:p>
        </w:tc>
      </w:tr>
    </w:tbl>
    <w:p w14:paraId="66D79A2C" w14:textId="77777777" w:rsidR="00E1298A" w:rsidRPr="00B66D99" w:rsidRDefault="00E1298A" w:rsidP="00E1298A">
      <w:pPr>
        <w:spacing w:line="360" w:lineRule="auto"/>
        <w:rPr>
          <w:rFonts w:ascii="Minion Pro" w:hAnsi="Minion Pro"/>
          <w:color w:val="auto"/>
        </w:rPr>
      </w:pPr>
    </w:p>
    <w:p w14:paraId="78428025" w14:textId="30354639" w:rsidR="00E1298A" w:rsidRPr="00B66D99" w:rsidRDefault="0012285D" w:rsidP="00E1298A">
      <w:pPr>
        <w:spacing w:line="360" w:lineRule="auto"/>
        <w:rPr>
          <w:rFonts w:ascii="Minion Pro" w:hAnsi="Minion Pro"/>
          <w:color w:val="auto"/>
        </w:rPr>
      </w:pPr>
      <w:r w:rsidRPr="003E7848">
        <w:rPr>
          <w:rFonts w:ascii="Minion Pro" w:hAnsi="Minion Pro"/>
          <w:noProof/>
          <w:sz w:val="28"/>
        </w:rPr>
        <w:lastRenderedPageBreak/>
        <mc:AlternateContent>
          <mc:Choice Requires="wps">
            <w:drawing>
              <wp:anchor distT="0" distB="0" distL="114300" distR="114300" simplePos="0" relativeHeight="251661312" behindDoc="0" locked="0" layoutInCell="1" allowOverlap="1" wp14:anchorId="2F11793A" wp14:editId="57EBEB72">
                <wp:simplePos x="0" y="0"/>
                <wp:positionH relativeFrom="column">
                  <wp:posOffset>2857500</wp:posOffset>
                </wp:positionH>
                <wp:positionV relativeFrom="paragraph">
                  <wp:posOffset>88900</wp:posOffset>
                </wp:positionV>
                <wp:extent cx="2743200" cy="4917440"/>
                <wp:effectExtent l="0" t="0" r="0" b="10160"/>
                <wp:wrapSquare wrapText="bothSides"/>
                <wp:docPr id="2" name="Rectangle 2"/>
                <wp:cNvGraphicFramePr/>
                <a:graphic xmlns:a="http://schemas.openxmlformats.org/drawingml/2006/main">
                  <a:graphicData uri="http://schemas.microsoft.com/office/word/2010/wordprocessingShape">
                    <wps:wsp>
                      <wps:cNvSpPr/>
                      <wps:spPr>
                        <a:xfrm>
                          <a:off x="0" y="0"/>
                          <a:ext cx="2743200" cy="4917440"/>
                        </a:xfrm>
                        <a:prstGeom prst="rect">
                          <a:avLst/>
                        </a:prstGeom>
                        <a:solidFill>
                          <a:srgbClr val="FFFFFF"/>
                        </a:solidFill>
                        <a:ln>
                          <a:noFill/>
                        </a:ln>
                        <a:effectLst/>
                      </wps:spPr>
                      <wps:style>
                        <a:lnRef idx="1">
                          <a:schemeClr val="accent1"/>
                        </a:lnRef>
                        <a:fillRef idx="3">
                          <a:schemeClr val="accent1"/>
                        </a:fillRef>
                        <a:effectRef idx="2">
                          <a:schemeClr val="accent1"/>
                        </a:effectRef>
                        <a:fontRef idx="minor">
                          <a:schemeClr val="lt1"/>
                        </a:fontRef>
                      </wps:style>
                      <wps:txbx>
                        <w:txbxContent>
                          <w:p w14:paraId="5CF4D12F" w14:textId="77777777" w:rsidR="00C33993" w:rsidRPr="00C33993" w:rsidRDefault="00C33993" w:rsidP="00E902EA">
                            <w:pPr>
                              <w:pStyle w:val="Heading1"/>
                              <w:contextualSpacing w:val="0"/>
                              <w:rPr>
                                <w:rFonts w:ascii="Minion Pro" w:hAnsi="Minion Pro"/>
                                <w:b/>
                                <w:color w:val="76923C" w:themeColor="accent3" w:themeShade="BF"/>
                                <w:sz w:val="28"/>
                              </w:rPr>
                            </w:pPr>
                            <w:r w:rsidRPr="00C33993">
                              <w:rPr>
                                <w:rFonts w:ascii="Minion Pro" w:hAnsi="Minion Pro"/>
                                <w:b/>
                                <w:color w:val="76923C" w:themeColor="accent3" w:themeShade="BF"/>
                                <w:sz w:val="28"/>
                              </w:rPr>
                              <w:t xml:space="preserve">Resources for further reading </w:t>
                            </w:r>
                          </w:p>
                          <w:p w14:paraId="2A9F0953" w14:textId="77777777" w:rsidR="00C33993" w:rsidRPr="00E203EC" w:rsidRDefault="00C33993" w:rsidP="00E203EC">
                            <w:pPr>
                              <w:rPr>
                                <w:rFonts w:ascii="Palatino" w:hAnsi="Palatino"/>
                                <w:color w:val="76923C" w:themeColor="accent3" w:themeShade="BF"/>
                                <w:sz w:val="18"/>
                                <w:szCs w:val="18"/>
                              </w:rPr>
                            </w:pPr>
                          </w:p>
                          <w:p w14:paraId="6D74B656" w14:textId="77777777" w:rsidR="00C33993" w:rsidRPr="00B66D99" w:rsidRDefault="00C33993" w:rsidP="00B66D99">
                            <w:pPr>
                              <w:rPr>
                                <w:rFonts w:ascii="Palatino" w:hAnsi="Palatino"/>
                                <w:color w:val="76923C" w:themeColor="accent3" w:themeShade="BF"/>
                                <w:sz w:val="18"/>
                                <w:szCs w:val="18"/>
                              </w:rPr>
                            </w:pPr>
                            <w:r w:rsidRPr="00B66D99">
                              <w:rPr>
                                <w:rFonts w:ascii="Palatino" w:hAnsi="Palatino"/>
                                <w:color w:val="76923C" w:themeColor="accent3" w:themeShade="BF"/>
                                <w:sz w:val="18"/>
                                <w:szCs w:val="18"/>
                              </w:rPr>
                              <w:t xml:space="preserve">Batson T &amp; Chen HL (n.d.) ePortfolios for learning and assessment. Available at: </w:t>
                            </w:r>
                            <w:hyperlink r:id="rId11">
                              <w:r w:rsidRPr="00B66D99">
                                <w:rPr>
                                  <w:rFonts w:ascii="Palatino" w:hAnsi="Palatino"/>
                                  <w:color w:val="76923C" w:themeColor="accent3" w:themeShade="BF"/>
                                  <w:sz w:val="18"/>
                                  <w:szCs w:val="18"/>
                                </w:rPr>
                                <w:t>http://www.samford.edu/images/sept28eportfolios.pdf</w:t>
                              </w:r>
                            </w:hyperlink>
                            <w:r w:rsidRPr="00B66D99">
                              <w:rPr>
                                <w:rFonts w:ascii="Palatino" w:hAnsi="Palatino"/>
                                <w:color w:val="76923C" w:themeColor="accent3" w:themeShade="BF"/>
                                <w:sz w:val="18"/>
                                <w:szCs w:val="18"/>
                              </w:rPr>
                              <w:t xml:space="preserve"> </w:t>
                            </w:r>
                          </w:p>
                          <w:p w14:paraId="1B9F758A" w14:textId="77777777" w:rsidR="00C33993" w:rsidRPr="00B66D99" w:rsidRDefault="00C33993" w:rsidP="00B66D99">
                            <w:pPr>
                              <w:rPr>
                                <w:rFonts w:ascii="Palatino" w:hAnsi="Palatino"/>
                                <w:color w:val="76923C" w:themeColor="accent3" w:themeShade="BF"/>
                                <w:sz w:val="18"/>
                                <w:szCs w:val="18"/>
                              </w:rPr>
                            </w:pPr>
                          </w:p>
                          <w:p w14:paraId="3183F741" w14:textId="77777777" w:rsidR="00C33993" w:rsidRPr="00B66D99" w:rsidRDefault="00C33993" w:rsidP="00B66D99">
                            <w:pPr>
                              <w:rPr>
                                <w:rFonts w:ascii="Palatino" w:hAnsi="Palatino"/>
                                <w:color w:val="76923C" w:themeColor="accent3" w:themeShade="BF"/>
                                <w:sz w:val="18"/>
                                <w:szCs w:val="18"/>
                              </w:rPr>
                            </w:pPr>
                            <w:r w:rsidRPr="00B66D99">
                              <w:rPr>
                                <w:rFonts w:ascii="Palatino" w:hAnsi="Palatino"/>
                                <w:color w:val="76923C" w:themeColor="accent3" w:themeShade="BF"/>
                                <w:sz w:val="18"/>
                                <w:szCs w:val="18"/>
                              </w:rPr>
                              <w:t xml:space="preserve">Corbeil JR, Pan CC &amp; Sullivan MJ (2005) ‘ePortfolios as high stakes assessment in a graduate distance education programme’. TCC Online conference, University of Hawaii. Available at: </w:t>
                            </w:r>
                            <w:hyperlink r:id="rId12">
                              <w:r w:rsidRPr="00B66D99">
                                <w:rPr>
                                  <w:rFonts w:ascii="Palatino" w:hAnsi="Palatino"/>
                                  <w:color w:val="76923C" w:themeColor="accent3" w:themeShade="BF"/>
                                  <w:sz w:val="18"/>
                                  <w:szCs w:val="18"/>
                                </w:rPr>
                                <w:t>http://tcc.kcc.hawaii.edu/previous/TCC%202005/corbeil.pdf</w:t>
                              </w:r>
                            </w:hyperlink>
                            <w:r w:rsidRPr="00B66D99">
                              <w:rPr>
                                <w:rFonts w:ascii="Palatino" w:hAnsi="Palatino"/>
                                <w:color w:val="76923C" w:themeColor="accent3" w:themeShade="BF"/>
                                <w:sz w:val="18"/>
                                <w:szCs w:val="18"/>
                              </w:rPr>
                              <w:t xml:space="preserve"> </w:t>
                            </w:r>
                          </w:p>
                          <w:p w14:paraId="4F6CFE7B" w14:textId="77777777" w:rsidR="00C33993" w:rsidRPr="00B66D99" w:rsidRDefault="00C33993" w:rsidP="00B66D99">
                            <w:pPr>
                              <w:rPr>
                                <w:rFonts w:ascii="Palatino" w:hAnsi="Palatino"/>
                                <w:color w:val="76923C" w:themeColor="accent3" w:themeShade="BF"/>
                                <w:sz w:val="18"/>
                                <w:szCs w:val="18"/>
                              </w:rPr>
                            </w:pPr>
                          </w:p>
                          <w:p w14:paraId="2EB155C0" w14:textId="77777777" w:rsidR="00C33993" w:rsidRPr="00B66D99" w:rsidRDefault="00C33993" w:rsidP="00B66D99">
                            <w:pPr>
                              <w:rPr>
                                <w:rFonts w:ascii="Palatino" w:hAnsi="Palatino"/>
                                <w:color w:val="76923C" w:themeColor="accent3" w:themeShade="BF"/>
                                <w:sz w:val="18"/>
                                <w:szCs w:val="18"/>
                              </w:rPr>
                            </w:pPr>
                            <w:r w:rsidRPr="00B66D99">
                              <w:rPr>
                                <w:rFonts w:ascii="Palatino" w:hAnsi="Palatino"/>
                                <w:color w:val="76923C" w:themeColor="accent3" w:themeShade="BF"/>
                                <w:sz w:val="18"/>
                                <w:szCs w:val="18"/>
                              </w:rPr>
                              <w:t xml:space="preserve">JISC (Joint Information Systems Committee) (2008) Effective practice with ePortfolios: Supporting 21st century learning. Available at: </w:t>
                            </w:r>
                            <w:hyperlink r:id="rId13">
                              <w:r w:rsidRPr="00B66D99">
                                <w:rPr>
                                  <w:rFonts w:ascii="Palatino" w:hAnsi="Palatino"/>
                                  <w:color w:val="76923C" w:themeColor="accent3" w:themeShade="BF"/>
                                  <w:sz w:val="18"/>
                                  <w:szCs w:val="18"/>
                                </w:rPr>
                                <w:t>http://www.jisc.ac.uk/media/documents/publications/effectivepracticeeportfolios.pdf</w:t>
                              </w:r>
                            </w:hyperlink>
                          </w:p>
                          <w:p w14:paraId="236B9C3D" w14:textId="77777777" w:rsidR="00C33993" w:rsidRPr="00B66D99" w:rsidRDefault="00C33993" w:rsidP="00B66D99">
                            <w:pPr>
                              <w:rPr>
                                <w:rFonts w:ascii="Palatino" w:hAnsi="Palatino"/>
                                <w:color w:val="76923C" w:themeColor="accent3" w:themeShade="BF"/>
                                <w:sz w:val="18"/>
                                <w:szCs w:val="18"/>
                              </w:rPr>
                            </w:pPr>
                          </w:p>
                          <w:p w14:paraId="6433781F" w14:textId="77777777" w:rsidR="00C33993" w:rsidRPr="00B66D99" w:rsidRDefault="00C33993" w:rsidP="00B66D99">
                            <w:pPr>
                              <w:rPr>
                                <w:rFonts w:ascii="Palatino" w:hAnsi="Palatino"/>
                                <w:color w:val="76923C" w:themeColor="accent3" w:themeShade="BF"/>
                                <w:sz w:val="18"/>
                                <w:szCs w:val="18"/>
                              </w:rPr>
                            </w:pPr>
                            <w:r w:rsidRPr="00B66D99">
                              <w:rPr>
                                <w:rFonts w:ascii="Palatino" w:hAnsi="Palatino"/>
                                <w:color w:val="76923C" w:themeColor="accent3" w:themeShade="BF"/>
                                <w:sz w:val="18"/>
                                <w:szCs w:val="18"/>
                              </w:rPr>
                              <w:t xml:space="preserve">Reese M &amp; Levy R. 2009. “Assessing the future: EPortfolio trends, uses and options in Higher Education” (Research Bulletin, Issue 4). Boulder, CO: EDUCAUSE Center for Applied Research. Available: </w:t>
                            </w:r>
                            <w:hyperlink r:id="rId14">
                              <w:r w:rsidRPr="00B66D99">
                                <w:rPr>
                                  <w:rFonts w:ascii="Palatino" w:hAnsi="Palatino"/>
                                  <w:color w:val="76923C" w:themeColor="accent3" w:themeShade="BF"/>
                                  <w:sz w:val="18"/>
                                  <w:szCs w:val="18"/>
                                </w:rPr>
                                <w:t>https://jscholarship.library.jhu.edu/bitstream/handle/1774.2/33329/ECAR-RB_Eportfolios.pdf</w:t>
                              </w:r>
                            </w:hyperlink>
                            <w:r w:rsidRPr="00B66D99">
                              <w:rPr>
                                <w:rFonts w:ascii="Palatino" w:hAnsi="Palatino"/>
                                <w:color w:val="76923C" w:themeColor="accent3" w:themeShade="BF"/>
                                <w:sz w:val="18"/>
                                <w:szCs w:val="18"/>
                              </w:rPr>
                              <w:t xml:space="preserve"> </w:t>
                            </w:r>
                          </w:p>
                          <w:p w14:paraId="64144E95" w14:textId="77777777" w:rsidR="00C33993" w:rsidRPr="00B91ED7" w:rsidRDefault="00C33993" w:rsidP="00B66D99">
                            <w:pPr>
                              <w:rPr>
                                <w:rFonts w:ascii="Palatino" w:hAnsi="Palatino"/>
                                <w:color w:val="76923C" w:themeColor="accent3" w:themeShade="BF"/>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rect id="Rectangle 2" o:spid="_x0000_s1026" style="position:absolute;margin-left:225pt;margin-top:7pt;width:3in;height:387.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" stroked="f">
                <v:textbox>
                  <w:txbxContent>
                    <w:p w14:paraId="5CF4D12F" w14:textId="77777777" w:rsidR="00C33993" w:rsidRPr="00C33993" w:rsidRDefault="00C33993" w:rsidP="00E902EA">
                      <w:pPr>
                        <w:pStyle w:val="Heading1"/>
                        <w:contextualSpacing w:val="0"/>
                        <w:rPr>
                          <w:rFonts w:ascii="Minion Pro" w:hAnsi="Minion Pro"/>
                          <w:b/>
                          <w:color w:val="76923C" w:themeColor="accent3" w:themeShade="BF"/>
                          <w:sz w:val="28"/>
                        </w:rPr>
                      </w:pPr>
                      <w:r w:rsidRPr="00C33993">
                        <w:rPr>
                          <w:rFonts w:ascii="Minion Pro" w:hAnsi="Minion Pro"/>
                          <w:b/>
                          <w:color w:val="76923C" w:themeColor="accent3" w:themeShade="BF"/>
                          <w:sz w:val="28"/>
                        </w:rPr>
                        <w:t xml:space="preserve">Resources for further reading </w:t>
                      </w:r>
                    </w:p>
                    <w:p w14:paraId="2A9F0953" w14:textId="77777777" w:rsidR="00C33993" w:rsidRPr="00E203EC" w:rsidRDefault="00C33993" w:rsidP="00E203EC">
                      <w:pPr>
                        <w:rPr>
                          <w:rFonts w:ascii="Palatino" w:hAnsi="Palatino"/>
                          <w:color w:val="76923C" w:themeColor="accent3" w:themeShade="BF"/>
                          <w:sz w:val="18"/>
                          <w:szCs w:val="18"/>
                        </w:rPr>
                      </w:pPr>
                    </w:p>
                    <w:p w14:paraId="6D74B656" w14:textId="77777777" w:rsidR="00C33993" w:rsidRPr="00B66D99" w:rsidRDefault="00C33993" w:rsidP="00B66D99">
                      <w:pPr>
                        <w:rPr>
                          <w:rFonts w:ascii="Palatino" w:hAnsi="Palatino"/>
                          <w:color w:val="76923C" w:themeColor="accent3" w:themeShade="BF"/>
                          <w:sz w:val="18"/>
                          <w:szCs w:val="18"/>
                        </w:rPr>
                      </w:pPr>
                      <w:r w:rsidRPr="00B66D99">
                        <w:rPr>
                          <w:rFonts w:ascii="Palatino" w:hAnsi="Palatino"/>
                          <w:color w:val="76923C" w:themeColor="accent3" w:themeShade="BF"/>
                          <w:sz w:val="18"/>
                          <w:szCs w:val="18"/>
                        </w:rPr>
                        <w:t xml:space="preserve">Batson T &amp; Chen HL (n.d.) ePortfolios for learning and assessment. Available at: </w:t>
                      </w:r>
                      <w:hyperlink r:id="rId15">
                        <w:r w:rsidRPr="00B66D99">
                          <w:rPr>
                            <w:rFonts w:ascii="Palatino" w:hAnsi="Palatino"/>
                            <w:color w:val="76923C" w:themeColor="accent3" w:themeShade="BF"/>
                            <w:sz w:val="18"/>
                            <w:szCs w:val="18"/>
                          </w:rPr>
                          <w:t>http://www.samford.edu/images/sept28eportfolios.pdf</w:t>
                        </w:r>
                      </w:hyperlink>
                      <w:r w:rsidRPr="00B66D99">
                        <w:rPr>
                          <w:rFonts w:ascii="Palatino" w:hAnsi="Palatino"/>
                          <w:color w:val="76923C" w:themeColor="accent3" w:themeShade="BF"/>
                          <w:sz w:val="18"/>
                          <w:szCs w:val="18"/>
                        </w:rPr>
                        <w:t xml:space="preserve"> </w:t>
                      </w:r>
                    </w:p>
                    <w:p w14:paraId="1B9F758A" w14:textId="77777777" w:rsidR="00C33993" w:rsidRPr="00B66D99" w:rsidRDefault="00C33993" w:rsidP="00B66D99">
                      <w:pPr>
                        <w:rPr>
                          <w:rFonts w:ascii="Palatino" w:hAnsi="Palatino"/>
                          <w:color w:val="76923C" w:themeColor="accent3" w:themeShade="BF"/>
                          <w:sz w:val="18"/>
                          <w:szCs w:val="18"/>
                        </w:rPr>
                      </w:pPr>
                    </w:p>
                    <w:p w14:paraId="3183F741" w14:textId="77777777" w:rsidR="00C33993" w:rsidRPr="00B66D99" w:rsidRDefault="00C33993" w:rsidP="00B66D99">
                      <w:pPr>
                        <w:rPr>
                          <w:rFonts w:ascii="Palatino" w:hAnsi="Palatino"/>
                          <w:color w:val="76923C" w:themeColor="accent3" w:themeShade="BF"/>
                          <w:sz w:val="18"/>
                          <w:szCs w:val="18"/>
                        </w:rPr>
                      </w:pPr>
                      <w:r w:rsidRPr="00B66D99">
                        <w:rPr>
                          <w:rFonts w:ascii="Palatino" w:hAnsi="Palatino"/>
                          <w:color w:val="76923C" w:themeColor="accent3" w:themeShade="BF"/>
                          <w:sz w:val="18"/>
                          <w:szCs w:val="18"/>
                        </w:rPr>
                        <w:t xml:space="preserve">Corbeil JR, Pan CC &amp; Sullivan MJ (2005) ‘ePortfolios as high stakes assessment in a graduate distance education programme’. TCC Online conference, University of Hawaii. Available at: </w:t>
                      </w:r>
                      <w:hyperlink r:id="rId16">
                        <w:r w:rsidRPr="00B66D99">
                          <w:rPr>
                            <w:rFonts w:ascii="Palatino" w:hAnsi="Palatino"/>
                            <w:color w:val="76923C" w:themeColor="accent3" w:themeShade="BF"/>
                            <w:sz w:val="18"/>
                            <w:szCs w:val="18"/>
                          </w:rPr>
                          <w:t>http://tcc.kcc.hawaii.edu/previous/TCC%202005/corbeil.pdf</w:t>
                        </w:r>
                      </w:hyperlink>
                      <w:r w:rsidRPr="00B66D99">
                        <w:rPr>
                          <w:rFonts w:ascii="Palatino" w:hAnsi="Palatino"/>
                          <w:color w:val="76923C" w:themeColor="accent3" w:themeShade="BF"/>
                          <w:sz w:val="18"/>
                          <w:szCs w:val="18"/>
                        </w:rPr>
                        <w:t xml:space="preserve"> </w:t>
                      </w:r>
                    </w:p>
                    <w:p w14:paraId="4F6CFE7B" w14:textId="77777777" w:rsidR="00C33993" w:rsidRPr="00B66D99" w:rsidRDefault="00C33993" w:rsidP="00B66D99">
                      <w:pPr>
                        <w:rPr>
                          <w:rFonts w:ascii="Palatino" w:hAnsi="Palatino"/>
                          <w:color w:val="76923C" w:themeColor="accent3" w:themeShade="BF"/>
                          <w:sz w:val="18"/>
                          <w:szCs w:val="18"/>
                        </w:rPr>
                      </w:pPr>
                    </w:p>
                    <w:p w14:paraId="2EB155C0" w14:textId="77777777" w:rsidR="00C33993" w:rsidRPr="00B66D99" w:rsidRDefault="00C33993" w:rsidP="00B66D99">
                      <w:pPr>
                        <w:rPr>
                          <w:rFonts w:ascii="Palatino" w:hAnsi="Palatino"/>
                          <w:color w:val="76923C" w:themeColor="accent3" w:themeShade="BF"/>
                          <w:sz w:val="18"/>
                          <w:szCs w:val="18"/>
                        </w:rPr>
                      </w:pPr>
                      <w:r w:rsidRPr="00B66D99">
                        <w:rPr>
                          <w:rFonts w:ascii="Palatino" w:hAnsi="Palatino"/>
                          <w:color w:val="76923C" w:themeColor="accent3" w:themeShade="BF"/>
                          <w:sz w:val="18"/>
                          <w:szCs w:val="18"/>
                        </w:rPr>
                        <w:t xml:space="preserve">JISC (Joint Information Systems Committee) (2008) Effective practice with ePortfolios: Supporting 21st century learning. Available at: </w:t>
                      </w:r>
                      <w:hyperlink r:id="rId17">
                        <w:r w:rsidRPr="00B66D99">
                          <w:rPr>
                            <w:rFonts w:ascii="Palatino" w:hAnsi="Palatino"/>
                            <w:color w:val="76923C" w:themeColor="accent3" w:themeShade="BF"/>
                            <w:sz w:val="18"/>
                            <w:szCs w:val="18"/>
                          </w:rPr>
                          <w:t>http://www.jisc.ac.uk/media/documents/publications/effectivepracticeeportfolios.pdf</w:t>
                        </w:r>
                      </w:hyperlink>
                    </w:p>
                    <w:p w14:paraId="236B9C3D" w14:textId="77777777" w:rsidR="00C33993" w:rsidRPr="00B66D99" w:rsidRDefault="00C33993" w:rsidP="00B66D99">
                      <w:pPr>
                        <w:rPr>
                          <w:rFonts w:ascii="Palatino" w:hAnsi="Palatino"/>
                          <w:color w:val="76923C" w:themeColor="accent3" w:themeShade="BF"/>
                          <w:sz w:val="18"/>
                          <w:szCs w:val="18"/>
                        </w:rPr>
                      </w:pPr>
                    </w:p>
                    <w:p w14:paraId="6433781F" w14:textId="77777777" w:rsidR="00C33993" w:rsidRPr="00B66D99" w:rsidRDefault="00C33993" w:rsidP="00B66D99">
                      <w:pPr>
                        <w:rPr>
                          <w:rFonts w:ascii="Palatino" w:hAnsi="Palatino"/>
                          <w:color w:val="76923C" w:themeColor="accent3" w:themeShade="BF"/>
                          <w:sz w:val="18"/>
                          <w:szCs w:val="18"/>
                        </w:rPr>
                      </w:pPr>
                      <w:r w:rsidRPr="00B66D99">
                        <w:rPr>
                          <w:rFonts w:ascii="Palatino" w:hAnsi="Palatino"/>
                          <w:color w:val="76923C" w:themeColor="accent3" w:themeShade="BF"/>
                          <w:sz w:val="18"/>
                          <w:szCs w:val="18"/>
                        </w:rPr>
                        <w:t xml:space="preserve">Reese M &amp; Levy R. 2009. “Assessing the future: EPortfolio trends, uses and options in Higher Education” (Research Bulletin, Issue 4). Boulder, CO: EDUCAUSE Center for Applied Research. Available: </w:t>
                      </w:r>
                      <w:hyperlink r:id="rId18">
                        <w:r w:rsidRPr="00B66D99">
                          <w:rPr>
                            <w:rFonts w:ascii="Palatino" w:hAnsi="Palatino"/>
                            <w:color w:val="76923C" w:themeColor="accent3" w:themeShade="BF"/>
                            <w:sz w:val="18"/>
                            <w:szCs w:val="18"/>
                          </w:rPr>
                          <w:t>https://jscholarship.library.jhu.edu/bitstream/handle/1774.2/33329/ECAR-RB_Eportfolios.pdf</w:t>
                        </w:r>
                      </w:hyperlink>
                      <w:r w:rsidRPr="00B66D99">
                        <w:rPr>
                          <w:rFonts w:ascii="Palatino" w:hAnsi="Palatino"/>
                          <w:color w:val="76923C" w:themeColor="accent3" w:themeShade="BF"/>
                          <w:sz w:val="18"/>
                          <w:szCs w:val="18"/>
                        </w:rPr>
                        <w:t xml:space="preserve"> </w:t>
                      </w:r>
                    </w:p>
                    <w:p w14:paraId="64144E95" w14:textId="77777777" w:rsidR="00C33993" w:rsidRPr="00B91ED7" w:rsidRDefault="00C33993" w:rsidP="00B66D99">
                      <w:pPr>
                        <w:rPr>
                          <w:rFonts w:ascii="Palatino" w:hAnsi="Palatino"/>
                          <w:color w:val="76923C" w:themeColor="accent3" w:themeShade="BF"/>
                          <w:sz w:val="18"/>
                          <w:szCs w:val="18"/>
                        </w:rPr>
                      </w:pPr>
                    </w:p>
                  </w:txbxContent>
                </v:textbox>
                <w10:wrap type="square"/>
              </v:rect>
            </w:pict>
          </mc:Fallback>
        </mc:AlternateContent>
      </w:r>
    </w:p>
    <w:p w14:paraId="2A3AF671" w14:textId="4AC2DA15" w:rsidR="00E1298A" w:rsidRPr="00B66D99" w:rsidRDefault="00E1298A" w:rsidP="00B66D99">
      <w:pPr>
        <w:rPr>
          <w:rFonts w:ascii="Minion Pro" w:hAnsi="Minion Pro"/>
        </w:rPr>
      </w:pPr>
      <w:r w:rsidRPr="00B66D99">
        <w:rPr>
          <w:rFonts w:ascii="Minion Pro" w:hAnsi="Minion Pro"/>
          <w:b/>
          <w:color w:val="76923C" w:themeColor="accent3" w:themeShade="BF"/>
          <w:sz w:val="44"/>
          <w:szCs w:val="44"/>
        </w:rPr>
        <w:t>Recommendations</w:t>
      </w:r>
    </w:p>
    <w:p w14:paraId="330D0F37" w14:textId="4896CFBD" w:rsidR="00E1298A" w:rsidRPr="00A92EAC" w:rsidRDefault="00E1298A" w:rsidP="00411E7B">
      <w:pPr>
        <w:pStyle w:val="ListParagraph"/>
        <w:numPr>
          <w:ilvl w:val="0"/>
          <w:numId w:val="15"/>
        </w:numPr>
        <w:spacing w:line="360" w:lineRule="auto"/>
        <w:ind w:left="284"/>
        <w:rPr>
          <w:rFonts w:ascii="Minion Pro" w:hAnsi="Minion Pro"/>
          <w:color w:val="auto"/>
          <w:sz w:val="24"/>
        </w:rPr>
      </w:pPr>
      <w:r w:rsidRPr="00A92EAC">
        <w:rPr>
          <w:rFonts w:ascii="Minion Pro" w:hAnsi="Minion Pro"/>
          <w:color w:val="auto"/>
          <w:sz w:val="24"/>
        </w:rPr>
        <w:t>An appropriate technology-based intervention or platform should be selected.</w:t>
      </w:r>
    </w:p>
    <w:p w14:paraId="170D735F" w14:textId="5883321A" w:rsidR="00E1298A" w:rsidRPr="00A92EAC" w:rsidRDefault="00E1298A" w:rsidP="00411E7B">
      <w:pPr>
        <w:pStyle w:val="ListParagraph"/>
        <w:numPr>
          <w:ilvl w:val="0"/>
          <w:numId w:val="15"/>
        </w:numPr>
        <w:spacing w:line="360" w:lineRule="auto"/>
        <w:ind w:left="284"/>
        <w:rPr>
          <w:rFonts w:ascii="Minion Pro" w:hAnsi="Minion Pro"/>
          <w:color w:val="auto"/>
          <w:sz w:val="24"/>
        </w:rPr>
      </w:pPr>
      <w:r w:rsidRPr="00A92EAC">
        <w:rPr>
          <w:rFonts w:ascii="Minion Pro" w:hAnsi="Minion Pro"/>
          <w:color w:val="auto"/>
          <w:sz w:val="24"/>
        </w:rPr>
        <w:t>Staff members with varied and specialised skills should actively participate in the ePortfolio programme.</w:t>
      </w:r>
    </w:p>
    <w:p w14:paraId="7A0FB470" w14:textId="5D7345FB" w:rsidR="00E1298A" w:rsidRPr="00A92EAC" w:rsidRDefault="00E1298A" w:rsidP="00411E7B">
      <w:pPr>
        <w:pStyle w:val="ListParagraph"/>
        <w:numPr>
          <w:ilvl w:val="0"/>
          <w:numId w:val="15"/>
        </w:numPr>
        <w:spacing w:line="360" w:lineRule="auto"/>
        <w:ind w:left="284"/>
        <w:rPr>
          <w:rFonts w:ascii="Minion Pro" w:hAnsi="Minion Pro"/>
          <w:color w:val="auto"/>
          <w:sz w:val="24"/>
        </w:rPr>
      </w:pPr>
      <w:r w:rsidRPr="00A92EAC">
        <w:rPr>
          <w:rFonts w:ascii="Minion Pro" w:hAnsi="Minion Pro"/>
          <w:color w:val="auto"/>
          <w:sz w:val="24"/>
        </w:rPr>
        <w:t>A marketing initiative should be considered to promote the ePortfolio to students and other role players.</w:t>
      </w:r>
    </w:p>
    <w:p w14:paraId="478A1DFB" w14:textId="0BC05D25" w:rsidR="00E1298A" w:rsidRPr="00A92EAC" w:rsidRDefault="00E1298A" w:rsidP="00411E7B">
      <w:pPr>
        <w:pStyle w:val="ListParagraph"/>
        <w:numPr>
          <w:ilvl w:val="0"/>
          <w:numId w:val="15"/>
        </w:numPr>
        <w:spacing w:line="360" w:lineRule="auto"/>
        <w:ind w:left="284"/>
        <w:rPr>
          <w:rFonts w:ascii="Minion Pro" w:hAnsi="Minion Pro"/>
          <w:color w:val="auto"/>
          <w:sz w:val="24"/>
        </w:rPr>
      </w:pPr>
      <w:r w:rsidRPr="00A92EAC">
        <w:rPr>
          <w:rFonts w:ascii="Minion Pro" w:hAnsi="Minion Pro"/>
          <w:color w:val="auto"/>
          <w:sz w:val="24"/>
        </w:rPr>
        <w:t xml:space="preserve">Appropriate support initiatives should be implemented to assist students with technical and reflective needs. </w:t>
      </w:r>
    </w:p>
    <w:p w14:paraId="26F9F21C" w14:textId="77777777" w:rsidR="00411E7B" w:rsidRPr="00411E7B" w:rsidRDefault="00E1298A" w:rsidP="00411E7B">
      <w:pPr>
        <w:pStyle w:val="ListParagraph"/>
        <w:numPr>
          <w:ilvl w:val="0"/>
          <w:numId w:val="15"/>
        </w:numPr>
        <w:spacing w:line="360" w:lineRule="auto"/>
        <w:ind w:left="284"/>
        <w:rPr>
          <w:rFonts w:ascii="Minion Pro" w:hAnsi="Minion Pro"/>
          <w:color w:val="auto"/>
        </w:rPr>
      </w:pPr>
      <w:r w:rsidRPr="00A92EAC">
        <w:rPr>
          <w:rFonts w:ascii="Minion Pro" w:hAnsi="Minion Pro"/>
          <w:color w:val="auto"/>
          <w:sz w:val="24"/>
        </w:rPr>
        <w:t xml:space="preserve">A detailed plan should be presented on how the particular programme will be evaluated in terms of implementation and </w:t>
      </w:r>
    </w:p>
    <w:p w14:paraId="1A0247C0" w14:textId="5DC9F5DC" w:rsidR="0012285D" w:rsidRPr="00A92EAC" w:rsidRDefault="00E1298A" w:rsidP="00411E7B">
      <w:pPr>
        <w:pStyle w:val="ListParagraph"/>
        <w:spacing w:line="360" w:lineRule="auto"/>
        <w:ind w:left="284"/>
        <w:rPr>
          <w:rFonts w:ascii="Minion Pro" w:hAnsi="Minion Pro"/>
          <w:color w:val="auto"/>
        </w:rPr>
      </w:pPr>
      <w:r w:rsidRPr="00A92EAC">
        <w:rPr>
          <w:rFonts w:ascii="Minion Pro" w:hAnsi="Minion Pro"/>
          <w:color w:val="auto"/>
          <w:sz w:val="24"/>
        </w:rPr>
        <w:t>impact (Reardon &amp; Hartley, 2007).</w:t>
      </w:r>
    </w:p>
    <w:p w14:paraId="10B46B41" w14:textId="77777777" w:rsidR="00A92EAC" w:rsidRPr="00B66D99" w:rsidRDefault="00A92EAC" w:rsidP="00E1298A">
      <w:pPr>
        <w:spacing w:line="360" w:lineRule="auto"/>
        <w:rPr>
          <w:rFonts w:ascii="Minion Pro" w:hAnsi="Minion Pro"/>
          <w:color w:val="auto"/>
        </w:rPr>
      </w:pPr>
    </w:p>
    <w:p w14:paraId="4E8BE3B4" w14:textId="77777777" w:rsidR="00E1298A" w:rsidRPr="00B66D99" w:rsidRDefault="00E1298A" w:rsidP="00B66D99">
      <w:pPr>
        <w:rPr>
          <w:rFonts w:ascii="Minion Pro" w:hAnsi="Minion Pro"/>
        </w:rPr>
      </w:pPr>
      <w:r w:rsidRPr="00B66D99">
        <w:rPr>
          <w:rFonts w:ascii="Minion Pro" w:hAnsi="Minion Pro"/>
          <w:sz w:val="32"/>
        </w:rPr>
        <w:t>References</w:t>
      </w:r>
    </w:p>
    <w:p w14:paraId="387E86A2" w14:textId="77777777" w:rsidR="0012285D" w:rsidRDefault="0012285D" w:rsidP="00E1298A">
      <w:pPr>
        <w:spacing w:after="120" w:line="240" w:lineRule="auto"/>
        <w:rPr>
          <w:rFonts w:ascii="Minion Pro" w:hAnsi="Minion Pro"/>
          <w:sz w:val="24"/>
          <w:szCs w:val="24"/>
        </w:rPr>
        <w:sectPr w:rsidR="0012285D" w:rsidSect="00A92EAC">
          <w:headerReference w:type="default" r:id="rId19"/>
          <w:footerReference w:type="even" r:id="rId20"/>
          <w:footerReference w:type="default" r:id="rId21"/>
          <w:headerReference w:type="first" r:id="rId22"/>
          <w:type w:val="continuous"/>
          <w:pgSz w:w="11900" w:h="16840"/>
          <w:pgMar w:top="1418" w:right="1268" w:bottom="1440" w:left="1800" w:header="708" w:footer="708" w:gutter="0"/>
          <w:cols w:space="708"/>
          <w:titlePg/>
          <w:docGrid w:linePitch="360"/>
        </w:sectPr>
      </w:pPr>
    </w:p>
    <w:p w14:paraId="67AB4668" w14:textId="64876019" w:rsidR="00E1298A" w:rsidRPr="00B66D99" w:rsidRDefault="00E1298A" w:rsidP="00E1298A">
      <w:pPr>
        <w:spacing w:after="120" w:line="240" w:lineRule="auto"/>
        <w:rPr>
          <w:rFonts w:ascii="Minion Pro" w:hAnsi="Minion Pro"/>
          <w:sz w:val="24"/>
          <w:szCs w:val="24"/>
        </w:rPr>
      </w:pPr>
      <w:r w:rsidRPr="00B66D99">
        <w:rPr>
          <w:rFonts w:ascii="Minion Pro" w:hAnsi="Minion Pro"/>
          <w:sz w:val="24"/>
          <w:szCs w:val="24"/>
        </w:rPr>
        <w:lastRenderedPageBreak/>
        <w:t xml:space="preserve">Barrett, H. (2010). Balancing the two faces of ePortfolios. Educação, Formação &amp; Tecnologias-ISSN 1646-933X, 3(1), 6-14. Updated version available at: </w:t>
      </w:r>
      <w:hyperlink r:id="rId23" w:history="1">
        <w:r w:rsidRPr="00B66D99">
          <w:rPr>
            <w:rStyle w:val="Hyperlink"/>
            <w:rFonts w:ascii="Minion Pro" w:hAnsi="Minion Pro"/>
            <w:sz w:val="24"/>
            <w:szCs w:val="24"/>
          </w:rPr>
          <w:t>http://electronicportfolios.org/balance/</w:t>
        </w:r>
      </w:hyperlink>
      <w:r w:rsidRPr="00B66D99">
        <w:rPr>
          <w:rFonts w:ascii="Minion Pro" w:hAnsi="Minion Pro"/>
          <w:sz w:val="24"/>
          <w:szCs w:val="24"/>
        </w:rPr>
        <w:t xml:space="preserve"> </w:t>
      </w:r>
    </w:p>
    <w:p w14:paraId="552F4D51" w14:textId="77777777" w:rsidR="0012285D" w:rsidRDefault="0012285D" w:rsidP="00E1298A">
      <w:pPr>
        <w:spacing w:after="120" w:line="240" w:lineRule="auto"/>
        <w:rPr>
          <w:rFonts w:ascii="Minion Pro" w:hAnsi="Minion Pro"/>
          <w:sz w:val="24"/>
          <w:szCs w:val="24"/>
        </w:rPr>
      </w:pPr>
    </w:p>
    <w:p w14:paraId="12B5EFE6" w14:textId="7483533C" w:rsidR="0012285D" w:rsidRDefault="00E1298A" w:rsidP="00E1298A">
      <w:pPr>
        <w:spacing w:after="120" w:line="240" w:lineRule="auto"/>
        <w:rPr>
          <w:rFonts w:ascii="Minion Pro" w:hAnsi="Minion Pro"/>
          <w:sz w:val="24"/>
          <w:szCs w:val="24"/>
        </w:rPr>
      </w:pPr>
      <w:r w:rsidRPr="00B66D99">
        <w:rPr>
          <w:rFonts w:ascii="Minion Pro" w:hAnsi="Minion Pro"/>
          <w:sz w:val="24"/>
          <w:szCs w:val="24"/>
        </w:rPr>
        <w:t xml:space="preserve">Becta &amp; Learning Sciences Research Institute at The University of Nottingham (2007). Impact Study of E-Portfolios on Learning. Available online at: </w:t>
      </w:r>
      <w:hyperlink r:id="rId24" w:history="1">
        <w:r w:rsidRPr="00B66D99">
          <w:rPr>
            <w:rStyle w:val="Hyperlink"/>
            <w:rFonts w:ascii="Minion Pro" w:hAnsi="Minion Pro"/>
            <w:sz w:val="21"/>
            <w:szCs w:val="21"/>
            <w:shd w:val="clear" w:color="auto" w:fill="FFFFFF"/>
          </w:rPr>
          <w:t>www.open.edu/openlearnworks/mod/resource/view.php?id=854</w:t>
        </w:r>
      </w:hyperlink>
      <w:r w:rsidRPr="00B66D99">
        <w:rPr>
          <w:rFonts w:ascii="Minion Pro" w:hAnsi="Minion Pro"/>
          <w:color w:val="006621"/>
          <w:sz w:val="21"/>
          <w:szCs w:val="21"/>
          <w:shd w:val="clear" w:color="auto" w:fill="FFFFFF"/>
        </w:rPr>
        <w:t xml:space="preserve"> </w:t>
      </w:r>
    </w:p>
    <w:p w14:paraId="421D4BC6" w14:textId="77777777" w:rsidR="00E1298A" w:rsidRPr="00B66D99" w:rsidRDefault="00E1298A" w:rsidP="00E1298A">
      <w:pPr>
        <w:spacing w:after="120" w:line="240" w:lineRule="auto"/>
        <w:rPr>
          <w:rFonts w:ascii="Minion Pro" w:hAnsi="Minion Pro"/>
          <w:sz w:val="24"/>
          <w:szCs w:val="24"/>
        </w:rPr>
      </w:pPr>
      <w:r w:rsidRPr="00B66D99">
        <w:rPr>
          <w:rFonts w:ascii="Minion Pro" w:hAnsi="Minion Pro"/>
          <w:sz w:val="24"/>
          <w:szCs w:val="24"/>
        </w:rPr>
        <w:lastRenderedPageBreak/>
        <w:t xml:space="preserve">Bozalek V &amp; Watters K (2014) The potential of authentic learning and emerging technologies for developing graduate attributes. </w:t>
      </w:r>
      <w:r w:rsidRPr="00B66D99">
        <w:rPr>
          <w:rFonts w:ascii="Minion Pro" w:hAnsi="Minion Pro"/>
          <w:i/>
          <w:sz w:val="24"/>
          <w:szCs w:val="24"/>
        </w:rPr>
        <w:t>SAJHE</w:t>
      </w:r>
      <w:r w:rsidRPr="00B66D99">
        <w:rPr>
          <w:rFonts w:ascii="Minion Pro" w:hAnsi="Minion Pro"/>
          <w:sz w:val="24"/>
          <w:szCs w:val="24"/>
        </w:rPr>
        <w:t>, 28(3), 1069-1084</w:t>
      </w:r>
    </w:p>
    <w:p w14:paraId="50DDF38F" w14:textId="77777777" w:rsidR="0012285D" w:rsidRDefault="0012285D" w:rsidP="00E1298A">
      <w:pPr>
        <w:spacing w:after="120" w:line="240" w:lineRule="auto"/>
        <w:rPr>
          <w:rFonts w:ascii="Minion Pro" w:hAnsi="Minion Pro"/>
          <w:sz w:val="24"/>
          <w:szCs w:val="24"/>
        </w:rPr>
      </w:pPr>
    </w:p>
    <w:p w14:paraId="158F40F3" w14:textId="33BB59C8" w:rsidR="0012285D" w:rsidRPr="00B66D99" w:rsidRDefault="0012285D" w:rsidP="00E1298A">
      <w:pPr>
        <w:spacing w:after="120" w:line="240" w:lineRule="auto"/>
        <w:rPr>
          <w:rFonts w:ascii="Minion Pro" w:hAnsi="Minion Pro"/>
          <w:sz w:val="24"/>
          <w:szCs w:val="24"/>
        </w:rPr>
      </w:pPr>
      <w:r>
        <w:rPr>
          <w:rFonts w:ascii="Minion Pro" w:hAnsi="Minion Pro"/>
          <w:sz w:val="24"/>
          <w:szCs w:val="24"/>
        </w:rPr>
        <w:t>C</w:t>
      </w:r>
      <w:r w:rsidR="00E1298A" w:rsidRPr="00B66D99">
        <w:rPr>
          <w:rFonts w:ascii="Minion Pro" w:hAnsi="Minion Pro"/>
          <w:sz w:val="24"/>
          <w:szCs w:val="24"/>
        </w:rPr>
        <w:t xml:space="preserve">otterill SJ (2007) </w:t>
      </w:r>
      <w:r w:rsidR="00E1298A" w:rsidRPr="00B66D99">
        <w:rPr>
          <w:rFonts w:ascii="Minion Pro" w:hAnsi="Minion Pro"/>
          <w:i/>
          <w:sz w:val="24"/>
          <w:szCs w:val="24"/>
        </w:rPr>
        <w:t>What is an ePortfolio? ePortfolios</w:t>
      </w:r>
      <w:r w:rsidR="00E1298A" w:rsidRPr="00B66D99">
        <w:rPr>
          <w:rFonts w:ascii="Minion Pro" w:hAnsi="Minion Pro"/>
          <w:sz w:val="24"/>
          <w:szCs w:val="24"/>
        </w:rPr>
        <w:t xml:space="preserve">, Newcastle University </w:t>
      </w:r>
      <w:hyperlink r:id="rId25">
        <w:r w:rsidR="00E1298A" w:rsidRPr="00B66D99">
          <w:rPr>
            <w:rFonts w:ascii="Minion Pro" w:hAnsi="Minion Pro"/>
            <w:sz w:val="24"/>
            <w:szCs w:val="24"/>
          </w:rPr>
          <w:t>http://www.eportfolios.ac.uk/definition</w:t>
        </w:r>
      </w:hyperlink>
    </w:p>
    <w:p w14:paraId="341035DA" w14:textId="77777777" w:rsidR="0012285D" w:rsidRDefault="0012285D" w:rsidP="00E1298A">
      <w:pPr>
        <w:spacing w:after="120" w:line="240" w:lineRule="auto"/>
        <w:rPr>
          <w:rFonts w:ascii="Minion Pro" w:hAnsi="Minion Pro"/>
          <w:sz w:val="24"/>
          <w:szCs w:val="24"/>
        </w:rPr>
      </w:pPr>
    </w:p>
    <w:p w14:paraId="48DEBE0C" w14:textId="77777777" w:rsidR="00E1298A" w:rsidRPr="00B66D99" w:rsidRDefault="00E1298A" w:rsidP="00E1298A">
      <w:pPr>
        <w:spacing w:after="120" w:line="240" w:lineRule="auto"/>
        <w:rPr>
          <w:rFonts w:ascii="Minion Pro" w:hAnsi="Minion Pro"/>
          <w:sz w:val="24"/>
          <w:szCs w:val="24"/>
        </w:rPr>
      </w:pPr>
      <w:r w:rsidRPr="00B66D99">
        <w:rPr>
          <w:rFonts w:ascii="Minion Pro" w:hAnsi="Minion Pro"/>
          <w:sz w:val="24"/>
          <w:szCs w:val="24"/>
        </w:rPr>
        <w:lastRenderedPageBreak/>
        <w:t xml:space="preserve">Faulkner M (2010) PebblePad implementation: You DO need to walk before you can run. Pebble Bash Conference. Available at: </w:t>
      </w:r>
      <w:hyperlink r:id="rId26" w:history="1">
        <w:r w:rsidRPr="00B66D99">
          <w:rPr>
            <w:rStyle w:val="Hyperlink"/>
            <w:rFonts w:ascii="Minion Pro" w:hAnsi="Minion Pro"/>
            <w:sz w:val="24"/>
            <w:szCs w:val="24"/>
          </w:rPr>
          <w:t>http://www.pebblepad.co.uk/pp2010/cs08.pdf</w:t>
        </w:r>
      </w:hyperlink>
      <w:r w:rsidRPr="00B66D99">
        <w:rPr>
          <w:rFonts w:ascii="Minion Pro" w:hAnsi="Minion Pro"/>
          <w:sz w:val="24"/>
          <w:szCs w:val="24"/>
        </w:rPr>
        <w:t xml:space="preserve"> </w:t>
      </w:r>
    </w:p>
    <w:p w14:paraId="6CEEAB0F" w14:textId="77777777" w:rsidR="0012285D" w:rsidRDefault="0012285D" w:rsidP="00E1298A">
      <w:pPr>
        <w:spacing w:after="120" w:line="240" w:lineRule="auto"/>
        <w:rPr>
          <w:rFonts w:ascii="Minion Pro" w:hAnsi="Minion Pro"/>
          <w:sz w:val="24"/>
          <w:szCs w:val="24"/>
        </w:rPr>
      </w:pPr>
    </w:p>
    <w:p w14:paraId="242DAD66" w14:textId="77777777" w:rsidR="00E1298A" w:rsidRPr="00B66D99" w:rsidRDefault="00E1298A" w:rsidP="00E1298A">
      <w:pPr>
        <w:spacing w:after="120" w:line="240" w:lineRule="auto"/>
        <w:rPr>
          <w:rFonts w:ascii="Minion Pro" w:hAnsi="Minion Pro"/>
          <w:sz w:val="24"/>
          <w:szCs w:val="24"/>
        </w:rPr>
      </w:pPr>
      <w:r w:rsidRPr="00B66D99">
        <w:rPr>
          <w:rFonts w:ascii="Minion Pro" w:hAnsi="Minion Pro"/>
          <w:sz w:val="24"/>
          <w:szCs w:val="24"/>
        </w:rPr>
        <w:t xml:space="preserve">Goldsmith DJ (2007) Enhancing learning and assessment through ePortfolios: A collaborative effort in Connecticut. In: JW Garis &amp; JC Dalton (eds) </w:t>
      </w:r>
      <w:r w:rsidRPr="00B66D99">
        <w:rPr>
          <w:rFonts w:ascii="Minion Pro" w:hAnsi="Minion Pro"/>
          <w:i/>
          <w:sz w:val="24"/>
          <w:szCs w:val="24"/>
        </w:rPr>
        <w:t>ePortfolios: Emerging opportunities for student affairs, New Directions for Student Services</w:t>
      </w:r>
      <w:r w:rsidRPr="00B66D99">
        <w:rPr>
          <w:rFonts w:ascii="Minion Pro" w:hAnsi="Minion Pro"/>
          <w:sz w:val="24"/>
          <w:szCs w:val="24"/>
        </w:rPr>
        <w:t xml:space="preserve">, </w:t>
      </w:r>
      <w:r w:rsidRPr="00B66D99">
        <w:rPr>
          <w:rFonts w:ascii="Minion Pro" w:hAnsi="Minion Pro"/>
          <w:i/>
          <w:sz w:val="24"/>
          <w:szCs w:val="24"/>
        </w:rPr>
        <w:t>199</w:t>
      </w:r>
      <w:r w:rsidRPr="00B66D99">
        <w:rPr>
          <w:rFonts w:ascii="Minion Pro" w:hAnsi="Minion Pro"/>
          <w:sz w:val="24"/>
          <w:szCs w:val="24"/>
        </w:rPr>
        <w:t xml:space="preserve"> (pp. 31-42). Published online in Wiley InterScience (</w:t>
      </w:r>
      <w:hyperlink r:id="rId27">
        <w:r w:rsidRPr="00B66D99">
          <w:rPr>
            <w:rFonts w:ascii="Minion Pro" w:hAnsi="Minion Pro"/>
            <w:sz w:val="24"/>
            <w:szCs w:val="24"/>
          </w:rPr>
          <w:t>www.interscience.wiley.com</w:t>
        </w:r>
      </w:hyperlink>
      <w:r w:rsidRPr="00B66D99">
        <w:rPr>
          <w:rFonts w:ascii="Minion Pro" w:hAnsi="Minion Pro"/>
          <w:sz w:val="24"/>
          <w:szCs w:val="24"/>
        </w:rPr>
        <w:t>)</w:t>
      </w:r>
    </w:p>
    <w:p w14:paraId="0034C675" w14:textId="77777777" w:rsidR="0012285D" w:rsidRDefault="0012285D" w:rsidP="00E1298A">
      <w:pPr>
        <w:spacing w:after="120" w:line="240" w:lineRule="auto"/>
        <w:rPr>
          <w:rFonts w:ascii="Minion Pro" w:hAnsi="Minion Pro"/>
          <w:sz w:val="24"/>
          <w:szCs w:val="24"/>
        </w:rPr>
      </w:pPr>
    </w:p>
    <w:p w14:paraId="0761F022" w14:textId="747EBC92" w:rsidR="00E1298A" w:rsidRPr="00B66D99" w:rsidRDefault="00E1298A" w:rsidP="00E1298A">
      <w:pPr>
        <w:spacing w:after="120" w:line="240" w:lineRule="auto"/>
        <w:rPr>
          <w:rFonts w:ascii="Minion Pro" w:hAnsi="Minion Pro"/>
          <w:sz w:val="24"/>
          <w:szCs w:val="24"/>
        </w:rPr>
      </w:pPr>
      <w:r w:rsidRPr="00B66D99">
        <w:rPr>
          <w:rFonts w:ascii="Minion Pro" w:hAnsi="Minion Pro"/>
          <w:sz w:val="24"/>
          <w:szCs w:val="24"/>
        </w:rPr>
        <w:t xml:space="preserve">Jacobs C &amp; Strydom S (2014) From ‘Matie’ to citizen – graduate attributes as signature learning at Stellenbosch University. </w:t>
      </w:r>
      <w:r w:rsidRPr="00B66D99">
        <w:rPr>
          <w:rFonts w:ascii="Minion Pro" w:hAnsi="Minion Pro"/>
          <w:i/>
          <w:sz w:val="24"/>
          <w:szCs w:val="24"/>
        </w:rPr>
        <w:t>The Independent Journal of Teaching and Learning</w:t>
      </w:r>
      <w:r w:rsidRPr="00B66D99">
        <w:rPr>
          <w:rFonts w:ascii="Minion Pro" w:hAnsi="Minion Pro"/>
          <w:sz w:val="24"/>
          <w:szCs w:val="24"/>
        </w:rPr>
        <w:t xml:space="preserve">, </w:t>
      </w:r>
      <w:r w:rsidRPr="00B66D99">
        <w:rPr>
          <w:rFonts w:ascii="Minion Pro" w:hAnsi="Minion Pro"/>
          <w:i/>
          <w:sz w:val="24"/>
          <w:szCs w:val="24"/>
        </w:rPr>
        <w:t>9</w:t>
      </w:r>
      <w:r w:rsidRPr="00B66D99">
        <w:rPr>
          <w:rFonts w:ascii="Minion Pro" w:hAnsi="Minion Pro"/>
          <w:sz w:val="24"/>
          <w:szCs w:val="24"/>
        </w:rPr>
        <w:t>, 63–74</w:t>
      </w:r>
    </w:p>
    <w:p w14:paraId="1B254780" w14:textId="77777777" w:rsidR="0012285D" w:rsidRDefault="0012285D" w:rsidP="00E1298A">
      <w:pPr>
        <w:spacing w:after="120" w:line="240" w:lineRule="auto"/>
        <w:rPr>
          <w:rFonts w:ascii="Minion Pro" w:hAnsi="Minion Pro"/>
          <w:sz w:val="24"/>
          <w:szCs w:val="24"/>
        </w:rPr>
      </w:pPr>
    </w:p>
    <w:p w14:paraId="5346062B" w14:textId="77777777" w:rsidR="00E1298A" w:rsidRPr="00B66D99" w:rsidRDefault="00E1298A" w:rsidP="00E1298A">
      <w:pPr>
        <w:spacing w:after="120" w:line="240" w:lineRule="auto"/>
        <w:rPr>
          <w:rFonts w:ascii="Minion Pro" w:hAnsi="Minion Pro"/>
          <w:sz w:val="24"/>
          <w:szCs w:val="24"/>
        </w:rPr>
      </w:pPr>
      <w:r w:rsidRPr="00B66D99">
        <w:rPr>
          <w:rFonts w:ascii="Minion Pro" w:hAnsi="Minion Pro"/>
          <w:sz w:val="24"/>
          <w:szCs w:val="24"/>
        </w:rPr>
        <w:t>Jaffer S, Ng’ambi D &amp; Czerniewicz L (2007) The role of ICTs in higher education in South Africa</w:t>
      </w:r>
      <w:r w:rsidRPr="00B66D99">
        <w:rPr>
          <w:rFonts w:ascii="Times New Roman" w:hAnsi="Times New Roman" w:cs="Times New Roman"/>
          <w:sz w:val="24"/>
          <w:szCs w:val="24"/>
        </w:rPr>
        <w:t> </w:t>
      </w:r>
      <w:r w:rsidRPr="00B66D99">
        <w:rPr>
          <w:rFonts w:ascii="Minion Pro" w:hAnsi="Minion Pro"/>
          <w:sz w:val="24"/>
          <w:szCs w:val="24"/>
        </w:rPr>
        <w:t xml:space="preserve">: One strategy for addressing teaching and learning challenges. </w:t>
      </w:r>
      <w:r w:rsidRPr="00B66D99">
        <w:rPr>
          <w:rFonts w:ascii="Minion Pro" w:hAnsi="Minion Pro"/>
          <w:i/>
          <w:sz w:val="24"/>
          <w:szCs w:val="24"/>
        </w:rPr>
        <w:t>International Journal of Education &amp; Development Using Information and Communication Technology</w:t>
      </w:r>
      <w:r w:rsidRPr="00B66D99">
        <w:rPr>
          <w:rFonts w:ascii="Minion Pro" w:hAnsi="Minion Pro"/>
          <w:sz w:val="24"/>
          <w:szCs w:val="24"/>
        </w:rPr>
        <w:t xml:space="preserve">, </w:t>
      </w:r>
      <w:r w:rsidRPr="00B66D99">
        <w:rPr>
          <w:rFonts w:ascii="Minion Pro" w:hAnsi="Minion Pro"/>
          <w:i/>
          <w:sz w:val="24"/>
          <w:szCs w:val="24"/>
        </w:rPr>
        <w:t>3</w:t>
      </w:r>
      <w:r w:rsidRPr="00B66D99">
        <w:rPr>
          <w:rFonts w:ascii="Minion Pro" w:hAnsi="Minion Pro"/>
          <w:sz w:val="24"/>
          <w:szCs w:val="24"/>
        </w:rPr>
        <w:t>(4): 131–142</w:t>
      </w:r>
    </w:p>
    <w:p w14:paraId="03AE1886" w14:textId="77777777" w:rsidR="0012285D" w:rsidRDefault="0012285D" w:rsidP="00E1298A">
      <w:pPr>
        <w:spacing w:after="120" w:line="240" w:lineRule="auto"/>
        <w:rPr>
          <w:rFonts w:ascii="Minion Pro" w:hAnsi="Minion Pro"/>
          <w:sz w:val="24"/>
          <w:szCs w:val="24"/>
        </w:rPr>
      </w:pPr>
    </w:p>
    <w:p w14:paraId="406773D7" w14:textId="77777777" w:rsidR="00E1298A" w:rsidRPr="00B66D99" w:rsidRDefault="00E1298A" w:rsidP="00E1298A">
      <w:pPr>
        <w:spacing w:after="120" w:line="240" w:lineRule="auto"/>
        <w:rPr>
          <w:rFonts w:ascii="Minion Pro" w:hAnsi="Minion Pro"/>
          <w:sz w:val="24"/>
          <w:szCs w:val="24"/>
        </w:rPr>
      </w:pPr>
      <w:r w:rsidRPr="00B66D99">
        <w:rPr>
          <w:rFonts w:ascii="Minion Pro" w:hAnsi="Minion Pro"/>
          <w:sz w:val="24"/>
          <w:szCs w:val="24"/>
        </w:rPr>
        <w:t xml:space="preserve">Jimoyiannis A (2012) Developing a pedagogical framework for the design and the implementation of ePortfolios in educational practice. </w:t>
      </w:r>
      <w:r w:rsidRPr="00B66D99">
        <w:rPr>
          <w:rFonts w:ascii="Minion Pro" w:hAnsi="Minion Pro"/>
          <w:i/>
          <w:sz w:val="24"/>
          <w:szCs w:val="24"/>
        </w:rPr>
        <w:t>Themes in Science &amp; Technology Education</w:t>
      </w:r>
      <w:r w:rsidRPr="00B66D99">
        <w:rPr>
          <w:rFonts w:ascii="Minion Pro" w:hAnsi="Minion Pro"/>
          <w:sz w:val="24"/>
          <w:szCs w:val="24"/>
        </w:rPr>
        <w:t xml:space="preserve"> 5(1/2): 107–132</w:t>
      </w:r>
    </w:p>
    <w:p w14:paraId="48EF91FD" w14:textId="77777777" w:rsidR="0012285D" w:rsidRDefault="0012285D" w:rsidP="00E1298A">
      <w:pPr>
        <w:spacing w:after="120" w:line="240" w:lineRule="auto"/>
        <w:rPr>
          <w:rFonts w:ascii="Minion Pro" w:hAnsi="Minion Pro"/>
          <w:sz w:val="24"/>
          <w:szCs w:val="24"/>
        </w:rPr>
      </w:pPr>
    </w:p>
    <w:p w14:paraId="5BD3DF3D" w14:textId="77777777" w:rsidR="00E1298A" w:rsidRPr="00B66D99" w:rsidRDefault="00E1298A" w:rsidP="00E1298A">
      <w:pPr>
        <w:spacing w:after="120" w:line="240" w:lineRule="auto"/>
        <w:rPr>
          <w:rFonts w:ascii="Minion Pro" w:hAnsi="Minion Pro"/>
          <w:sz w:val="24"/>
          <w:szCs w:val="24"/>
        </w:rPr>
      </w:pPr>
      <w:r w:rsidRPr="00B66D99">
        <w:rPr>
          <w:rFonts w:ascii="Minion Pro" w:hAnsi="Minion Pro"/>
          <w:sz w:val="24"/>
          <w:szCs w:val="24"/>
        </w:rPr>
        <w:lastRenderedPageBreak/>
        <w:t xml:space="preserve">JISC (2014) </w:t>
      </w:r>
      <w:r w:rsidRPr="00B66D99">
        <w:rPr>
          <w:rFonts w:ascii="Minion Pro" w:hAnsi="Minion Pro"/>
          <w:i/>
          <w:sz w:val="24"/>
          <w:szCs w:val="24"/>
        </w:rPr>
        <w:t>ePortfolios – an overview</w:t>
      </w:r>
      <w:r w:rsidRPr="00B66D99">
        <w:rPr>
          <w:rFonts w:ascii="Minion Pro" w:hAnsi="Minion Pro"/>
          <w:sz w:val="24"/>
          <w:szCs w:val="24"/>
        </w:rPr>
        <w:t xml:space="preserve">. Available at: </w:t>
      </w:r>
      <w:hyperlink r:id="rId28">
        <w:r w:rsidRPr="00B66D99">
          <w:rPr>
            <w:rStyle w:val="Hyperlink"/>
            <w:rFonts w:ascii="Minion Pro" w:hAnsi="Minion Pro"/>
            <w:sz w:val="24"/>
            <w:szCs w:val="24"/>
          </w:rPr>
          <w:t>http://www.jisc.ac.uk/whatwedo/programmes/elearning/eportfolios.aspx</w:t>
        </w:r>
      </w:hyperlink>
    </w:p>
    <w:p w14:paraId="29C07FCC" w14:textId="7F9AEBB0" w:rsidR="0012285D" w:rsidRDefault="00E1298A" w:rsidP="00E1298A">
      <w:pPr>
        <w:spacing w:after="120" w:line="240" w:lineRule="auto"/>
        <w:rPr>
          <w:rFonts w:ascii="Minion Pro" w:hAnsi="Minion Pro"/>
          <w:sz w:val="24"/>
          <w:szCs w:val="24"/>
        </w:rPr>
      </w:pPr>
      <w:r w:rsidRPr="00B66D99">
        <w:rPr>
          <w:rFonts w:ascii="Minion Pro" w:hAnsi="Minion Pro"/>
          <w:sz w:val="24"/>
          <w:szCs w:val="24"/>
        </w:rPr>
        <w:t xml:space="preserve">Kooperberg R (2014) </w:t>
      </w:r>
      <w:r w:rsidRPr="00B66D99">
        <w:rPr>
          <w:rFonts w:ascii="Minion Pro" w:hAnsi="Minion Pro"/>
          <w:i/>
          <w:sz w:val="24"/>
          <w:szCs w:val="24"/>
        </w:rPr>
        <w:t>Assessment and Electronic Portfolios (Wiki).</w:t>
      </w:r>
      <w:r w:rsidRPr="00B66D99">
        <w:rPr>
          <w:rFonts w:ascii="Minion Pro" w:hAnsi="Minion Pro"/>
          <w:sz w:val="24"/>
          <w:szCs w:val="24"/>
        </w:rPr>
        <w:t xml:space="preserve"> Available at: </w:t>
      </w:r>
      <w:hyperlink r:id="rId29">
        <w:r w:rsidRPr="00B66D99">
          <w:rPr>
            <w:rFonts w:ascii="Minion Pro" w:hAnsi="Minion Pro"/>
            <w:sz w:val="24"/>
            <w:szCs w:val="24"/>
          </w:rPr>
          <w:t>http://etec.ctlt.ubc.ca/510wiki/Assessment_and_Electronic_Portfolios</w:t>
        </w:r>
      </w:hyperlink>
      <w:r w:rsidR="0012285D">
        <w:rPr>
          <w:rFonts w:ascii="Minion Pro" w:hAnsi="Minion Pro"/>
          <w:sz w:val="24"/>
          <w:szCs w:val="24"/>
        </w:rPr>
        <w:t xml:space="preserve"> </w:t>
      </w:r>
      <w:r w:rsidR="00986858">
        <w:rPr>
          <w:rFonts w:ascii="Minion Pro" w:hAnsi="Minion Pro"/>
          <w:sz w:val="24"/>
          <w:szCs w:val="24"/>
        </w:rPr>
        <w:t xml:space="preserve"> </w:t>
      </w:r>
    </w:p>
    <w:p w14:paraId="6A2802B8" w14:textId="58F3837C" w:rsidR="00E1298A" w:rsidRPr="00B66D99" w:rsidRDefault="00E1298A" w:rsidP="00E1298A">
      <w:pPr>
        <w:spacing w:after="120" w:line="240" w:lineRule="auto"/>
        <w:rPr>
          <w:rFonts w:ascii="Minion Pro" w:hAnsi="Minion Pro"/>
          <w:sz w:val="24"/>
          <w:szCs w:val="24"/>
        </w:rPr>
      </w:pPr>
      <w:r w:rsidRPr="00B66D99">
        <w:rPr>
          <w:rFonts w:ascii="Minion Pro" w:hAnsi="Minion Pro"/>
          <w:sz w:val="24"/>
          <w:szCs w:val="24"/>
        </w:rPr>
        <w:t xml:space="preserve"> </w:t>
      </w:r>
    </w:p>
    <w:p w14:paraId="1BFD4BB3" w14:textId="36851108" w:rsidR="00E1298A" w:rsidRPr="00B66D99" w:rsidRDefault="00E1298A" w:rsidP="00E1298A">
      <w:pPr>
        <w:spacing w:after="120" w:line="240" w:lineRule="auto"/>
        <w:rPr>
          <w:rFonts w:ascii="Minion Pro" w:hAnsi="Minion Pro"/>
          <w:sz w:val="24"/>
          <w:szCs w:val="24"/>
        </w:rPr>
      </w:pPr>
      <w:r w:rsidRPr="00B66D99">
        <w:rPr>
          <w:rFonts w:ascii="Minion Pro" w:hAnsi="Minion Pro"/>
          <w:sz w:val="24"/>
          <w:szCs w:val="24"/>
        </w:rPr>
        <w:t xml:space="preserve">Littlejohn A, Beetham H &amp; Mcgill L (2012) Learning at the digital frontier. A review of digital literacies in theory and practice. </w:t>
      </w:r>
      <w:r w:rsidRPr="00B66D99">
        <w:rPr>
          <w:rFonts w:ascii="Minion Pro" w:hAnsi="Minion Pro"/>
          <w:i/>
          <w:sz w:val="24"/>
          <w:szCs w:val="24"/>
        </w:rPr>
        <w:t>Journal of Computer Assisted Learning</w:t>
      </w:r>
      <w:r w:rsidRPr="00B66D99">
        <w:rPr>
          <w:rFonts w:ascii="Minion Pro" w:hAnsi="Minion Pro"/>
          <w:sz w:val="24"/>
          <w:szCs w:val="24"/>
        </w:rPr>
        <w:t xml:space="preserve"> 28(6): 547–556. doi:10.1111/j.1365-2729.2011.00474.x</w:t>
      </w:r>
      <w:r w:rsidR="00986858">
        <w:rPr>
          <w:rFonts w:ascii="Minion Pro" w:hAnsi="Minion Pro"/>
          <w:sz w:val="24"/>
          <w:szCs w:val="24"/>
        </w:rPr>
        <w:t>ls</w:t>
      </w:r>
      <w:r w:rsidR="00986858">
        <w:rPr>
          <w:rFonts w:ascii="Minion Pro" w:hAnsi="Minion Pro"/>
          <w:sz w:val="24"/>
          <w:szCs w:val="24"/>
        </w:rPr>
        <w:br/>
      </w:r>
    </w:p>
    <w:p w14:paraId="5F4DD95C" w14:textId="77699894" w:rsidR="00E1298A" w:rsidRPr="00B66D99" w:rsidRDefault="00E1298A" w:rsidP="00E1298A">
      <w:pPr>
        <w:spacing w:after="120" w:line="240" w:lineRule="auto"/>
        <w:rPr>
          <w:rFonts w:ascii="Minion Pro" w:hAnsi="Minion Pro"/>
          <w:sz w:val="24"/>
          <w:szCs w:val="24"/>
        </w:rPr>
      </w:pPr>
      <w:r w:rsidRPr="00B66D99">
        <w:rPr>
          <w:rFonts w:ascii="Minion Pro" w:hAnsi="Minion Pro"/>
          <w:sz w:val="24"/>
          <w:szCs w:val="24"/>
        </w:rPr>
        <w:t xml:space="preserve">Reardon RC &amp; Hartley SL (2007) Program evaluation of ePortfolios. In: JW Garis and JC Dalton (eds) </w:t>
      </w:r>
      <w:r w:rsidRPr="00B66D99">
        <w:rPr>
          <w:rFonts w:ascii="Minion Pro" w:hAnsi="Minion Pro"/>
          <w:i/>
          <w:sz w:val="24"/>
          <w:szCs w:val="24"/>
        </w:rPr>
        <w:t>ePortfolios: Emerging opportunities for student affairs, New Directions for Student Services, 199</w:t>
      </w:r>
      <w:r w:rsidRPr="00B66D99">
        <w:rPr>
          <w:rFonts w:ascii="Minion Pro" w:hAnsi="Minion Pro"/>
          <w:sz w:val="24"/>
          <w:szCs w:val="24"/>
        </w:rPr>
        <w:t xml:space="preserve"> (pp. 83–97). Published online in Wiley InterScience (</w:t>
      </w:r>
      <w:hyperlink r:id="rId30">
        <w:r w:rsidRPr="00B66D99">
          <w:rPr>
            <w:rFonts w:ascii="Minion Pro" w:hAnsi="Minion Pro"/>
            <w:sz w:val="24"/>
            <w:szCs w:val="24"/>
          </w:rPr>
          <w:t>www.interscience.wiley.com</w:t>
        </w:r>
      </w:hyperlink>
      <w:r w:rsidRPr="00B66D99">
        <w:rPr>
          <w:rFonts w:ascii="Minion Pro" w:hAnsi="Minion Pro"/>
          <w:sz w:val="24"/>
          <w:szCs w:val="24"/>
        </w:rPr>
        <w:t>)</w:t>
      </w:r>
      <w:r w:rsidR="0012285D">
        <w:rPr>
          <w:rFonts w:ascii="Minion Pro" w:hAnsi="Minion Pro"/>
          <w:sz w:val="24"/>
          <w:szCs w:val="24"/>
        </w:rPr>
        <w:t xml:space="preserve"> </w:t>
      </w:r>
    </w:p>
    <w:p w14:paraId="110805BD" w14:textId="77777777" w:rsidR="0012285D" w:rsidRDefault="0012285D" w:rsidP="00E1298A">
      <w:pPr>
        <w:spacing w:after="120" w:line="240" w:lineRule="auto"/>
        <w:rPr>
          <w:rFonts w:ascii="Minion Pro" w:hAnsi="Minion Pro"/>
          <w:sz w:val="24"/>
          <w:szCs w:val="24"/>
        </w:rPr>
      </w:pPr>
    </w:p>
    <w:p w14:paraId="48987543" w14:textId="6E2E0B04" w:rsidR="00E1298A" w:rsidRPr="00B66D99" w:rsidRDefault="00E1298A" w:rsidP="00E1298A">
      <w:pPr>
        <w:spacing w:after="120" w:line="240" w:lineRule="auto"/>
        <w:rPr>
          <w:rFonts w:ascii="Minion Pro" w:hAnsi="Minion Pro"/>
          <w:sz w:val="24"/>
          <w:szCs w:val="24"/>
        </w:rPr>
      </w:pPr>
      <w:r w:rsidRPr="00B66D99">
        <w:rPr>
          <w:rFonts w:ascii="Minion Pro" w:hAnsi="Minion Pro"/>
          <w:sz w:val="24"/>
          <w:szCs w:val="24"/>
        </w:rPr>
        <w:t xml:space="preserve">Rodgers M, Runyon D, Starrett D, Von Holzen R (2006) The 21st Century Learner. 22nd Annual conference of distance teaching and learning. Accessed July 26, 2012 from </w:t>
      </w:r>
      <w:hyperlink r:id="rId31" w:history="1">
        <w:r w:rsidR="0012285D" w:rsidRPr="00F73693">
          <w:rPr>
            <w:rStyle w:val="Hyperlink"/>
            <w:rFonts w:ascii="Minion Pro" w:hAnsi="Minion Pro"/>
            <w:sz w:val="24"/>
            <w:szCs w:val="24"/>
          </w:rPr>
          <w:t>http://www.uwex.edu/disted/conference/</w:t>
        </w:r>
      </w:hyperlink>
      <w:r w:rsidR="0012285D">
        <w:rPr>
          <w:rFonts w:ascii="Minion Pro" w:hAnsi="Minion Pro"/>
          <w:sz w:val="24"/>
          <w:szCs w:val="24"/>
        </w:rPr>
        <w:t xml:space="preserve"> </w:t>
      </w:r>
    </w:p>
    <w:p w14:paraId="7BD0E764" w14:textId="77777777" w:rsidR="0012285D" w:rsidRDefault="0012285D" w:rsidP="00E1298A">
      <w:pPr>
        <w:spacing w:after="120" w:line="240" w:lineRule="auto"/>
        <w:rPr>
          <w:rFonts w:ascii="Minion Pro" w:hAnsi="Minion Pro"/>
          <w:sz w:val="24"/>
          <w:szCs w:val="24"/>
        </w:rPr>
      </w:pPr>
    </w:p>
    <w:p w14:paraId="1BD77930" w14:textId="3180FEDC" w:rsidR="00E1298A" w:rsidRPr="00B66D99" w:rsidRDefault="00E1298A" w:rsidP="00E1298A">
      <w:pPr>
        <w:spacing w:after="120" w:line="240" w:lineRule="auto"/>
        <w:rPr>
          <w:rFonts w:ascii="Minion Pro" w:hAnsi="Minion Pro"/>
          <w:sz w:val="24"/>
          <w:szCs w:val="24"/>
        </w:rPr>
      </w:pPr>
      <w:r w:rsidRPr="00B66D99">
        <w:rPr>
          <w:rFonts w:ascii="Minion Pro" w:hAnsi="Minion Pro"/>
          <w:sz w:val="24"/>
          <w:szCs w:val="24"/>
        </w:rPr>
        <w:t xml:space="preserve">Tosh D &amp; Werdmuller B (2004) </w:t>
      </w:r>
      <w:r w:rsidRPr="00B66D99">
        <w:rPr>
          <w:rFonts w:ascii="Minion Pro" w:hAnsi="Minion Pro"/>
          <w:i/>
          <w:sz w:val="24"/>
          <w:szCs w:val="24"/>
        </w:rPr>
        <w:t xml:space="preserve">ePortfolio and weblogs: One vision for ePortfolio development report. </w:t>
      </w:r>
      <w:r w:rsidRPr="00B66D99">
        <w:rPr>
          <w:rFonts w:ascii="Minion Pro" w:hAnsi="Minion Pro"/>
          <w:sz w:val="24"/>
          <w:szCs w:val="24"/>
        </w:rPr>
        <w:t xml:space="preserve">Accessed July 22, 2012 from </w:t>
      </w:r>
      <w:hyperlink r:id="rId32" w:history="1">
        <w:r w:rsidR="0012285D" w:rsidRPr="00F73693">
          <w:rPr>
            <w:rStyle w:val="Hyperlink"/>
            <w:rFonts w:ascii="Minion Pro" w:hAnsi="Minion Pro"/>
            <w:sz w:val="24"/>
            <w:szCs w:val="24"/>
          </w:rPr>
          <w:t>http://www.morrisville.org/classrooms_curriculum/hive_portal/documents/ePortfolio_Weblog.pdf</w:t>
        </w:r>
      </w:hyperlink>
      <w:r w:rsidR="0012285D">
        <w:rPr>
          <w:rFonts w:ascii="Minion Pro" w:hAnsi="Minion Pro"/>
          <w:sz w:val="24"/>
          <w:szCs w:val="24"/>
        </w:rPr>
        <w:t xml:space="preserve"> </w:t>
      </w:r>
    </w:p>
    <w:p w14:paraId="38D16C2A" w14:textId="77777777" w:rsidR="0012285D" w:rsidRDefault="0012285D" w:rsidP="00E1298A">
      <w:pPr>
        <w:spacing w:after="120" w:line="240" w:lineRule="auto"/>
        <w:rPr>
          <w:rFonts w:ascii="Minion Pro" w:hAnsi="Minion Pro"/>
          <w:sz w:val="24"/>
          <w:szCs w:val="24"/>
        </w:rPr>
        <w:sectPr w:rsidR="0012285D" w:rsidSect="00A92EAC">
          <w:type w:val="continuous"/>
          <w:pgSz w:w="11900" w:h="16840"/>
          <w:pgMar w:top="1418" w:right="1268" w:bottom="1440" w:left="1800" w:header="708" w:footer="708" w:gutter="0"/>
          <w:cols w:num="2" w:space="708"/>
          <w:titlePg/>
          <w:docGrid w:linePitch="360"/>
        </w:sectPr>
      </w:pPr>
    </w:p>
    <w:p w14:paraId="3450E4DB" w14:textId="68FFCFBD" w:rsidR="00E1298A" w:rsidRPr="00B66D99" w:rsidRDefault="00E1298A" w:rsidP="00E1298A">
      <w:pPr>
        <w:spacing w:after="120" w:line="240" w:lineRule="auto"/>
        <w:rPr>
          <w:rFonts w:ascii="Minion Pro" w:hAnsi="Minion Pro"/>
          <w:sz w:val="24"/>
          <w:szCs w:val="24"/>
        </w:rPr>
      </w:pPr>
    </w:p>
    <w:p w14:paraId="2B7F8B85" w14:textId="77777777" w:rsidR="003E7848" w:rsidRDefault="003E7848" w:rsidP="003E7848">
      <w:pPr>
        <w:widowControl w:val="0"/>
        <w:spacing w:after="120" w:line="240" w:lineRule="auto"/>
        <w:sectPr w:rsidR="003E7848" w:rsidSect="00A92EAC">
          <w:type w:val="continuous"/>
          <w:pgSz w:w="11900" w:h="16840"/>
          <w:pgMar w:top="1418" w:right="1268" w:bottom="1440" w:left="1800" w:header="708" w:footer="708" w:gutter="0"/>
          <w:cols w:space="708"/>
          <w:titlePg/>
          <w:docGrid w:linePitch="360"/>
        </w:sectPr>
      </w:pPr>
    </w:p>
    <w:p w14:paraId="7FA2A379" w14:textId="77777777" w:rsidR="00E203EC" w:rsidRDefault="00E203EC" w:rsidP="00E203EC"/>
    <w:p w14:paraId="3DD58FE7" w14:textId="77777777" w:rsidR="00C33993" w:rsidRDefault="00C33993" w:rsidP="00E203EC"/>
    <w:p w14:paraId="29EB34A7" w14:textId="77777777" w:rsidR="00986858" w:rsidRDefault="00986858" w:rsidP="00E203EC"/>
    <w:p w14:paraId="3F4FAEDA" w14:textId="77777777" w:rsidR="00986858" w:rsidRDefault="00986858" w:rsidP="00E203EC"/>
    <w:p w14:paraId="6EF3C645" w14:textId="77777777" w:rsidR="00986858" w:rsidRDefault="00986858" w:rsidP="00E203EC"/>
    <w:p w14:paraId="190A468C" w14:textId="77777777" w:rsidR="00986858" w:rsidRDefault="00986858" w:rsidP="00E203EC"/>
    <w:p w14:paraId="3A41178A" w14:textId="77777777" w:rsidR="00986858" w:rsidRDefault="00986858" w:rsidP="00E203EC"/>
    <w:p w14:paraId="6E30E930" w14:textId="77777777" w:rsidR="00986858" w:rsidRDefault="00986858" w:rsidP="00E203EC"/>
    <w:p w14:paraId="656ED165" w14:textId="77777777" w:rsidR="00986858" w:rsidRDefault="00986858" w:rsidP="00E203EC"/>
    <w:p w14:paraId="1D6648C1" w14:textId="77777777" w:rsidR="00E203EC" w:rsidRDefault="00E203EC" w:rsidP="00E203EC"/>
    <w:p w14:paraId="7801C7E3" w14:textId="77777777" w:rsidR="00E203EC" w:rsidRPr="00F5099D" w:rsidRDefault="00E203EC" w:rsidP="00E203EC">
      <w:pPr>
        <w:pBdr>
          <w:top w:val="single" w:sz="24" w:space="1" w:color="auto"/>
          <w:left w:val="single" w:sz="24" w:space="4" w:color="auto"/>
          <w:bottom w:val="single" w:sz="24" w:space="1" w:color="auto"/>
          <w:right w:val="single" w:sz="24" w:space="4" w:color="auto"/>
        </w:pBdr>
        <w:rPr>
          <w:b/>
          <w:sz w:val="32"/>
        </w:rPr>
      </w:pPr>
      <w:r w:rsidRPr="00F5099D">
        <w:rPr>
          <w:b/>
          <w:sz w:val="32"/>
        </w:rPr>
        <w:t>License:</w:t>
      </w:r>
    </w:p>
    <w:p w14:paraId="775E3D02" w14:textId="77777777" w:rsidR="00E203EC" w:rsidRDefault="00E203EC" w:rsidP="00E203EC">
      <w:pPr>
        <w:pBdr>
          <w:top w:val="single" w:sz="24" w:space="1" w:color="auto"/>
          <w:left w:val="single" w:sz="24" w:space="4" w:color="auto"/>
          <w:bottom w:val="single" w:sz="24" w:space="1" w:color="auto"/>
          <w:right w:val="single" w:sz="24" w:space="4" w:color="auto"/>
        </w:pBdr>
      </w:pPr>
    </w:p>
    <w:p w14:paraId="75576524" w14:textId="77777777" w:rsidR="00E203EC" w:rsidRDefault="00E203EC" w:rsidP="00E203EC">
      <w:pPr>
        <w:pBdr>
          <w:top w:val="single" w:sz="24" w:space="1" w:color="auto"/>
          <w:left w:val="single" w:sz="24" w:space="4" w:color="auto"/>
          <w:bottom w:val="single" w:sz="24" w:space="1" w:color="auto"/>
          <w:right w:val="single" w:sz="24" w:space="4" w:color="auto"/>
        </w:pBdr>
        <w:rPr>
          <w:lang w:val="en"/>
        </w:rPr>
      </w:pPr>
      <w:r w:rsidRPr="00F5099D">
        <w:rPr>
          <w:sz w:val="23"/>
          <w:szCs w:val="23"/>
          <w:lang w:val="en-US"/>
        </w:rPr>
        <w:t>This work is licensed under the Creative Commons Attribution 4.0 Unported License. To view a copy of this license, visit</w:t>
      </w:r>
      <w:r>
        <w:rPr>
          <w:lang w:val="en"/>
        </w:rPr>
        <w:t xml:space="preserve"> </w:t>
      </w:r>
      <w:hyperlink r:id="rId33" w:history="1">
        <w:r>
          <w:rPr>
            <w:rStyle w:val="Hyperlink"/>
            <w:lang w:val="en"/>
          </w:rPr>
          <w:t>https://creativecommons.org/licenses/by/4.0/</w:t>
        </w:r>
      </w:hyperlink>
    </w:p>
    <w:p w14:paraId="34D01A2D" w14:textId="77777777" w:rsidR="00E203EC" w:rsidRDefault="00E203EC" w:rsidP="00E203EC">
      <w:pPr>
        <w:pBdr>
          <w:top w:val="single" w:sz="24" w:space="1" w:color="auto"/>
          <w:left w:val="single" w:sz="24" w:space="4" w:color="auto"/>
          <w:bottom w:val="single" w:sz="24" w:space="1" w:color="auto"/>
          <w:right w:val="single" w:sz="24" w:space="4" w:color="auto"/>
        </w:pBdr>
        <w:rPr>
          <w:lang w:val="en"/>
        </w:rPr>
      </w:pPr>
    </w:p>
    <w:p w14:paraId="2E89132E" w14:textId="77777777" w:rsidR="00E203EC" w:rsidRDefault="00E203EC" w:rsidP="00E203EC">
      <w:pPr>
        <w:pBdr>
          <w:top w:val="single" w:sz="24" w:space="1" w:color="auto"/>
          <w:left w:val="single" w:sz="24" w:space="4" w:color="auto"/>
          <w:bottom w:val="single" w:sz="24" w:space="1" w:color="auto"/>
          <w:right w:val="single" w:sz="24" w:space="4" w:color="auto"/>
        </w:pBdr>
      </w:pPr>
      <w:r>
        <w:rPr>
          <w:noProof/>
        </w:rPr>
        <w:drawing>
          <wp:inline distT="0" distB="0" distL="0" distR="0" wp14:anchorId="5168CE2B" wp14:editId="3CBA27FB">
            <wp:extent cx="1144905" cy="397510"/>
            <wp:effectExtent l="0" t="0" r="0" b="2540"/>
            <wp:docPr id="4" name="Picture 4" descr="cid:image001.png@01D0713D.C722E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D0713D.C722E140"/>
                    <pic:cNvPicPr>
                      <a:picLocks noChangeAspect="1" noChangeArrowheads="1"/>
                    </pic:cNvPicPr>
                  </pic:nvPicPr>
                  <pic:blipFill>
                    <a:blip r:embed="rId34" r:link="rId35">
                      <a:extLst>
                        <a:ext uri="{28A0092B-C50C-407E-A947-70E740481C1C}">
                          <a14:useLocalDpi xmlns:a14="http://schemas.microsoft.com/office/drawing/2010/main" val="0"/>
                        </a:ext>
                      </a:extLst>
                    </a:blip>
                    <a:srcRect/>
                    <a:stretch>
                      <a:fillRect/>
                    </a:stretch>
                  </pic:blipFill>
                  <pic:spPr bwMode="auto">
                    <a:xfrm>
                      <a:off x="0" y="0"/>
                      <a:ext cx="1144905" cy="397510"/>
                    </a:xfrm>
                    <a:prstGeom prst="rect">
                      <a:avLst/>
                    </a:prstGeom>
                    <a:noFill/>
                    <a:ln>
                      <a:noFill/>
                    </a:ln>
                  </pic:spPr>
                </pic:pic>
              </a:graphicData>
            </a:graphic>
          </wp:inline>
        </w:drawing>
      </w:r>
    </w:p>
    <w:p w14:paraId="5BB19597" w14:textId="77777777" w:rsidR="00E203EC" w:rsidRDefault="00E203EC" w:rsidP="00E203EC">
      <w:pPr>
        <w:pBdr>
          <w:top w:val="single" w:sz="24" w:space="1" w:color="auto"/>
          <w:left w:val="single" w:sz="24" w:space="4" w:color="auto"/>
          <w:bottom w:val="single" w:sz="24" w:space="1" w:color="auto"/>
          <w:right w:val="single" w:sz="24" w:space="4" w:color="auto"/>
        </w:pBdr>
      </w:pPr>
    </w:p>
    <w:p w14:paraId="5029FC31" w14:textId="77777777" w:rsidR="00E902EA" w:rsidRPr="00E902EA" w:rsidRDefault="00E902EA" w:rsidP="00E902EA">
      <w:pPr>
        <w:spacing w:line="360" w:lineRule="auto"/>
        <w:jc w:val="both"/>
        <w:rPr>
          <w:rFonts w:ascii="Minion Pro" w:hAnsi="Minion Pro"/>
          <w:szCs w:val="22"/>
        </w:rPr>
      </w:pPr>
    </w:p>
    <w:p w14:paraId="75BCCF52" w14:textId="68C3C8BC" w:rsidR="00AE3B02" w:rsidRPr="007E1CE7" w:rsidRDefault="00E203EC" w:rsidP="00AE3B02">
      <w:pPr>
        <w:rPr>
          <w:rFonts w:ascii="Minion Pro" w:hAnsi="Minion Pro"/>
          <w:sz w:val="28"/>
        </w:rPr>
      </w:pPr>
      <w:r>
        <w:rPr>
          <w:rFonts w:ascii="Minion Pro" w:hAnsi="Minion Pro"/>
          <w:sz w:val="32"/>
        </w:rPr>
        <w:t>Citation</w:t>
      </w:r>
    </w:p>
    <w:p w14:paraId="676A6FBA" w14:textId="77777777" w:rsidR="007E1CE7" w:rsidRDefault="007E1CE7" w:rsidP="00AE3B02">
      <w:pPr>
        <w:spacing w:line="240" w:lineRule="auto"/>
        <w:rPr>
          <w:rFonts w:ascii="Minion Pro" w:hAnsi="Minion Pro"/>
          <w:sz w:val="18"/>
        </w:rPr>
      </w:pPr>
    </w:p>
    <w:p w14:paraId="794D24FC" w14:textId="77777777" w:rsidR="003B2FC4" w:rsidRDefault="003B2FC4" w:rsidP="00AE3B02">
      <w:pPr>
        <w:spacing w:line="240" w:lineRule="auto"/>
        <w:rPr>
          <w:rFonts w:ascii="Minion Pro" w:hAnsi="Minion Pro"/>
          <w:sz w:val="18"/>
        </w:rPr>
        <w:sectPr w:rsidR="003B2FC4" w:rsidSect="00A92EAC">
          <w:type w:val="continuous"/>
          <w:pgSz w:w="11900" w:h="16840"/>
          <w:pgMar w:top="1418" w:right="1268" w:bottom="1440" w:left="1800" w:header="708" w:footer="708" w:gutter="0"/>
          <w:cols w:space="708"/>
          <w:titlePg/>
          <w:docGrid w:linePitch="360"/>
        </w:sectPr>
      </w:pPr>
    </w:p>
    <w:p w14:paraId="5678AD9C" w14:textId="074A9577" w:rsidR="00625D6A" w:rsidRPr="003E7848" w:rsidRDefault="0012285D" w:rsidP="00E203EC">
      <w:pPr>
        <w:spacing w:line="360" w:lineRule="auto"/>
        <w:rPr>
          <w:rFonts w:ascii="Minion Pro" w:eastAsia="Times New Roman" w:hAnsi="Minion Pro" w:cs="Times New Roman"/>
          <w:sz w:val="18"/>
        </w:rPr>
      </w:pPr>
      <w:r>
        <w:rPr>
          <w:rFonts w:ascii="Minion Pro" w:hAnsi="Minion Pro"/>
          <w:sz w:val="23"/>
          <w:szCs w:val="23"/>
          <w:lang w:val="en-US"/>
        </w:rPr>
        <w:lastRenderedPageBreak/>
        <w:t>Pallitt</w:t>
      </w:r>
      <w:r w:rsidR="00E203EC" w:rsidRPr="003E7848">
        <w:rPr>
          <w:rFonts w:ascii="Minion Pro" w:hAnsi="Minion Pro"/>
          <w:sz w:val="23"/>
          <w:szCs w:val="23"/>
          <w:lang w:val="en-US"/>
        </w:rPr>
        <w:t xml:space="preserve">, </w:t>
      </w:r>
      <w:r>
        <w:rPr>
          <w:rFonts w:ascii="Minion Pro" w:hAnsi="Minion Pro"/>
          <w:sz w:val="23"/>
          <w:szCs w:val="23"/>
          <w:lang w:val="en-US"/>
        </w:rPr>
        <w:t>N; Strydom, S</w:t>
      </w:r>
      <w:r w:rsidR="00E203EC" w:rsidRPr="003E7848">
        <w:rPr>
          <w:rFonts w:ascii="Minion Pro" w:hAnsi="Minion Pro"/>
          <w:sz w:val="23"/>
          <w:szCs w:val="23"/>
          <w:lang w:val="en-US"/>
        </w:rPr>
        <w:t xml:space="preserve"> &amp; </w:t>
      </w:r>
      <w:r>
        <w:rPr>
          <w:rFonts w:ascii="Minion Pro" w:hAnsi="Minion Pro"/>
          <w:sz w:val="23"/>
          <w:szCs w:val="23"/>
          <w:lang w:val="en-US"/>
        </w:rPr>
        <w:t>Ivala, E</w:t>
      </w:r>
      <w:r w:rsidR="00E203EC" w:rsidRPr="003E7848">
        <w:rPr>
          <w:rFonts w:ascii="Minion Pro" w:hAnsi="Minion Pro"/>
          <w:sz w:val="23"/>
          <w:szCs w:val="23"/>
          <w:lang w:val="en-US"/>
        </w:rPr>
        <w:t xml:space="preserve">. (2015). CILT Position Paper:  </w:t>
      </w:r>
      <w:r>
        <w:rPr>
          <w:rFonts w:ascii="Minion Pro" w:hAnsi="Minion Pro"/>
          <w:sz w:val="23"/>
          <w:szCs w:val="23"/>
          <w:lang w:val="en-US"/>
        </w:rPr>
        <w:t>ePortfolios</w:t>
      </w:r>
      <w:r w:rsidR="00E203EC" w:rsidRPr="003E7848">
        <w:rPr>
          <w:rFonts w:ascii="Minion Pro" w:hAnsi="Minion Pro"/>
          <w:sz w:val="23"/>
          <w:szCs w:val="23"/>
          <w:lang w:val="en-US"/>
        </w:rPr>
        <w:t>. CILT, University of Cape Town.</w:t>
      </w:r>
    </w:p>
    <w:p w14:paraId="6EA9189A" w14:textId="77777777" w:rsidR="003B2FC4" w:rsidRDefault="003B2FC4" w:rsidP="00AE3B02">
      <w:pPr>
        <w:rPr>
          <w:rFonts w:ascii="Minion Pro" w:hAnsi="Minion Pro"/>
        </w:rPr>
        <w:sectPr w:rsidR="003B2FC4" w:rsidSect="00A92EAC">
          <w:type w:val="continuous"/>
          <w:pgSz w:w="11900" w:h="16840"/>
          <w:pgMar w:top="851" w:right="1268" w:bottom="1440" w:left="1800" w:header="708" w:footer="708" w:gutter="0"/>
          <w:cols w:space="708"/>
          <w:titlePg/>
          <w:docGrid w:linePitch="360"/>
        </w:sectPr>
      </w:pPr>
    </w:p>
    <w:p w14:paraId="6821D177" w14:textId="77777777" w:rsidR="00AE3B02" w:rsidRDefault="00AE3B02" w:rsidP="00AE3B02">
      <w:pPr>
        <w:rPr>
          <w:rFonts w:ascii="Minion Pro" w:hAnsi="Minion Pro"/>
        </w:rPr>
      </w:pPr>
    </w:p>
    <w:p w14:paraId="70F1EB28" w14:textId="77777777" w:rsidR="00D525F2" w:rsidRPr="00FC0237" w:rsidRDefault="00D525F2" w:rsidP="00D525F2">
      <w:pPr>
        <w:pStyle w:val="Heading1"/>
        <w:rPr>
          <w:rFonts w:ascii="Minion Pro" w:hAnsi="Minion Pro"/>
          <w:sz w:val="23"/>
          <w:szCs w:val="23"/>
          <w:lang w:val="en-US"/>
        </w:rPr>
      </w:pPr>
      <w:r w:rsidRPr="00FC0237">
        <w:rPr>
          <w:rFonts w:ascii="Minion Pro" w:hAnsi="Minion Pro"/>
          <w:sz w:val="23"/>
          <w:szCs w:val="23"/>
          <w:lang w:val="en-US"/>
        </w:rPr>
        <w:t>This work has been slightly adapted from the original which originally appeared in the</w:t>
      </w:r>
    </w:p>
    <w:p w14:paraId="0BD74190" w14:textId="77777777" w:rsidR="00D525F2" w:rsidRPr="00FC0237" w:rsidRDefault="00D525F2" w:rsidP="00D525F2">
      <w:pPr>
        <w:pStyle w:val="Heading1"/>
        <w:rPr>
          <w:rFonts w:ascii="Minion Pro" w:hAnsi="Minion Pro"/>
          <w:sz w:val="23"/>
          <w:szCs w:val="23"/>
          <w:lang w:val="en-US"/>
        </w:rPr>
      </w:pPr>
      <w:r w:rsidRPr="00FC0237">
        <w:rPr>
          <w:rFonts w:ascii="Minion Pro" w:hAnsi="Minion Pro"/>
          <w:sz w:val="23"/>
          <w:szCs w:val="23"/>
          <w:lang w:val="en-US"/>
        </w:rPr>
        <w:t>HESA series: Kilfoil, W.R. (Ed.). (2015). Moving beyond the hype: a contextualized</w:t>
      </w:r>
    </w:p>
    <w:p w14:paraId="5BFAF7AB" w14:textId="77777777" w:rsidR="00D525F2" w:rsidRPr="00FC0237" w:rsidRDefault="00D525F2" w:rsidP="00D525F2">
      <w:pPr>
        <w:pStyle w:val="Heading1"/>
        <w:rPr>
          <w:rFonts w:ascii="Minion Pro" w:hAnsi="Minion Pro"/>
          <w:sz w:val="23"/>
          <w:szCs w:val="23"/>
          <w:lang w:val="en-US"/>
        </w:rPr>
      </w:pPr>
      <w:r w:rsidRPr="00FC0237">
        <w:rPr>
          <w:rFonts w:ascii="Minion Pro" w:hAnsi="Minion Pro"/>
          <w:sz w:val="23"/>
          <w:szCs w:val="23"/>
          <w:lang w:val="en-US"/>
        </w:rPr>
        <w:t>view of learning with technology in higher education. Higher Education South Africa -</w:t>
      </w:r>
    </w:p>
    <w:p w14:paraId="45FC4A77" w14:textId="09ED5FC9" w:rsidR="00D525F2" w:rsidRPr="00FC0237" w:rsidRDefault="00D525F2" w:rsidP="00D525F2">
      <w:pPr>
        <w:pStyle w:val="Heading1"/>
        <w:rPr>
          <w:rFonts w:ascii="Minion Pro" w:hAnsi="Minion Pro"/>
          <w:sz w:val="23"/>
          <w:szCs w:val="23"/>
          <w:lang w:val="en-US"/>
        </w:rPr>
      </w:pPr>
      <w:r w:rsidRPr="00FC0237">
        <w:rPr>
          <w:rFonts w:ascii="Minion Pro" w:hAnsi="Minion Pro"/>
          <w:sz w:val="23"/>
          <w:szCs w:val="23"/>
          <w:lang w:val="en-US"/>
        </w:rPr>
        <w:t>HESA licensed under a Creative Commons Attribution 4.0 International License (CC BY)</w:t>
      </w:r>
      <w:r>
        <w:rPr>
          <w:rFonts w:ascii="Minion Pro" w:hAnsi="Minion Pro"/>
          <w:sz w:val="23"/>
          <w:szCs w:val="23"/>
          <w:lang w:val="en-US"/>
        </w:rPr>
        <w:t xml:space="preserve"> </w:t>
      </w:r>
      <w:hyperlink r:id="rId36" w:history="1">
        <w:r w:rsidRPr="00FC0237">
          <w:rPr>
            <w:rStyle w:val="Hyperlink"/>
            <w:rFonts w:ascii="Minion Pro" w:hAnsi="Minion Pro"/>
            <w:sz w:val="23"/>
            <w:szCs w:val="23"/>
            <w:lang w:val="en-US"/>
          </w:rPr>
          <w:t>creativecommons.org/licenses/by/4.0</w:t>
        </w:r>
      </w:hyperlink>
      <w:r w:rsidRPr="00FC0237">
        <w:rPr>
          <w:rFonts w:ascii="Minion Pro" w:hAnsi="Minion Pro"/>
          <w:sz w:val="23"/>
          <w:szCs w:val="23"/>
          <w:lang w:val="en-US"/>
        </w:rPr>
        <w:t xml:space="preserve"> </w:t>
      </w:r>
    </w:p>
    <w:p w14:paraId="02B1BCFE" w14:textId="77777777" w:rsidR="003B3640" w:rsidRPr="002E06CF" w:rsidRDefault="003B3640" w:rsidP="003B3640"/>
    <w:p w14:paraId="77AC1331" w14:textId="77777777" w:rsidR="003B3640" w:rsidRDefault="003B3640" w:rsidP="00AE3B02">
      <w:pPr>
        <w:rPr>
          <w:rFonts w:ascii="Minion Pro" w:hAnsi="Minion Pro"/>
        </w:rPr>
      </w:pPr>
    </w:p>
    <w:p w14:paraId="6CD3A27D" w14:textId="77777777" w:rsidR="00C33993" w:rsidRPr="00901951" w:rsidRDefault="00C33993" w:rsidP="00C33993">
      <w:pPr>
        <w:rPr>
          <w:rFonts w:ascii="Minion Pro" w:hAnsi="Minion Pro"/>
          <w:sz w:val="32"/>
        </w:rPr>
      </w:pPr>
      <w:r>
        <w:rPr>
          <w:rFonts w:ascii="Minion Pro" w:hAnsi="Minion Pro"/>
          <w:sz w:val="32"/>
        </w:rPr>
        <w:t>Contact Details</w:t>
      </w:r>
    </w:p>
    <w:p w14:paraId="39C43EB2" w14:textId="77777777" w:rsidR="00C33993" w:rsidRDefault="00C33993" w:rsidP="00C33993">
      <w:pPr>
        <w:rPr>
          <w:rFonts w:ascii="Minion Pro" w:hAnsi="Minion Pro"/>
        </w:rPr>
      </w:pPr>
      <w:r>
        <w:rPr>
          <w:rFonts w:ascii="Minion Pro" w:hAnsi="Minion Pro"/>
        </w:rPr>
        <w:t xml:space="preserve">Dr Nicola Pallitt, </w:t>
      </w:r>
      <w:hyperlink r:id="rId37" w:history="1">
        <w:r w:rsidRPr="00CA5604">
          <w:rPr>
            <w:rStyle w:val="Hyperlink"/>
            <w:rFonts w:ascii="Minion Pro" w:hAnsi="Minion Pro"/>
          </w:rPr>
          <w:t>nicola.pallitt@uct.ac.za</w:t>
        </w:r>
      </w:hyperlink>
      <w:r>
        <w:rPr>
          <w:rFonts w:ascii="Minion Pro" w:hAnsi="Minion Pro"/>
        </w:rPr>
        <w:t>, Tel: (021) 650 1842</w:t>
      </w:r>
    </w:p>
    <w:p w14:paraId="5229F70E" w14:textId="5A1BB273" w:rsidR="00C33993" w:rsidRDefault="00C33993" w:rsidP="00C33993">
      <w:pPr>
        <w:rPr>
          <w:rFonts w:ascii="Minion Pro" w:hAnsi="Minion Pro"/>
        </w:rPr>
      </w:pPr>
      <w:r>
        <w:rPr>
          <w:rFonts w:ascii="Minion Pro" w:hAnsi="Minion Pro"/>
        </w:rPr>
        <w:t xml:space="preserve">Sonja Strydom, </w:t>
      </w:r>
      <w:hyperlink r:id="rId38" w:history="1">
        <w:r w:rsidR="00411E7B" w:rsidRPr="00B044E2">
          <w:rPr>
            <w:rStyle w:val="Hyperlink"/>
            <w:rFonts w:ascii="Minion Pro" w:hAnsi="Minion Pro"/>
          </w:rPr>
          <w:t>sonjas@sun.ac.za</w:t>
        </w:r>
      </w:hyperlink>
      <w:r>
        <w:rPr>
          <w:rFonts w:ascii="Minion Pro" w:hAnsi="Minion Pro"/>
        </w:rPr>
        <w:t xml:space="preserve"> </w:t>
      </w:r>
    </w:p>
    <w:p w14:paraId="2EF7AC47" w14:textId="340F5D49" w:rsidR="00C33993" w:rsidRDefault="00C33993" w:rsidP="00C33993">
      <w:pPr>
        <w:rPr>
          <w:rFonts w:ascii="Minion Pro" w:hAnsi="Minion Pro"/>
        </w:rPr>
      </w:pPr>
      <w:r>
        <w:rPr>
          <w:rFonts w:ascii="Minion Pro" w:hAnsi="Minion Pro"/>
        </w:rPr>
        <w:t xml:space="preserve">Eunice Ivala, </w:t>
      </w:r>
      <w:hyperlink r:id="rId39" w:history="1">
        <w:r w:rsidR="00411E7B" w:rsidRPr="00B044E2">
          <w:rPr>
            <w:rStyle w:val="Hyperlink"/>
            <w:rFonts w:ascii="Minion Pro" w:hAnsi="Minion Pro"/>
          </w:rPr>
          <w:t>IvalaE@cput.ac.za</w:t>
        </w:r>
      </w:hyperlink>
      <w:r w:rsidR="00411E7B">
        <w:rPr>
          <w:rFonts w:ascii="Minion Pro" w:hAnsi="Minion Pro"/>
        </w:rPr>
        <w:t xml:space="preserve"> </w:t>
      </w:r>
    </w:p>
    <w:p w14:paraId="38A6162B" w14:textId="77777777" w:rsidR="00C33993" w:rsidRDefault="00C33993" w:rsidP="00C33993">
      <w:pPr>
        <w:rPr>
          <w:rFonts w:ascii="Minion Pro" w:hAnsi="Minion Pro"/>
        </w:rPr>
      </w:pPr>
    </w:p>
    <w:p w14:paraId="56AD51DA" w14:textId="77777777" w:rsidR="00C33993" w:rsidRDefault="006B128F" w:rsidP="00C33993">
      <w:pPr>
        <w:rPr>
          <w:rFonts w:ascii="Minion Pro" w:hAnsi="Minion Pro"/>
        </w:rPr>
      </w:pPr>
      <w:r>
        <w:fldChar w:fldCharType="begin"/>
      </w:r>
      <w:r>
        <w:instrText xml:space="preserve"> HYPERLINK "http://www.cilt.u</w:instrText>
      </w:r>
      <w:bookmarkStart w:id="3" w:name="_GoBack"/>
      <w:bookmarkEnd w:id="3"/>
      <w:r>
        <w:instrText xml:space="preserve">ct.ac.za" </w:instrText>
      </w:r>
      <w:r>
        <w:fldChar w:fldCharType="separate"/>
      </w:r>
      <w:r w:rsidR="00C33993" w:rsidRPr="00CA5604">
        <w:rPr>
          <w:rStyle w:val="Hyperlink"/>
          <w:rFonts w:ascii="Minion Pro" w:hAnsi="Minion Pro"/>
        </w:rPr>
        <w:t>www.cilt.uct.ac.za</w:t>
      </w:r>
      <w:r>
        <w:rPr>
          <w:rStyle w:val="Hyperlink"/>
          <w:rFonts w:ascii="Minion Pro" w:hAnsi="Minion Pro"/>
        </w:rPr>
        <w:fldChar w:fldCharType="end"/>
      </w:r>
      <w:r w:rsidR="00C33993">
        <w:rPr>
          <w:rFonts w:ascii="Minion Pro" w:hAnsi="Minion Pro"/>
        </w:rPr>
        <w:br/>
        <w:t xml:space="preserve">Email: </w:t>
      </w:r>
      <w:hyperlink r:id="rId40" w:history="1">
        <w:r w:rsidR="00C33993" w:rsidRPr="00CA5604">
          <w:rPr>
            <w:rStyle w:val="Hyperlink"/>
            <w:rFonts w:ascii="Minion Pro" w:hAnsi="Minion Pro"/>
          </w:rPr>
          <w:t>cilt@uct.ac.za</w:t>
        </w:r>
      </w:hyperlink>
    </w:p>
    <w:p w14:paraId="38F7D668" w14:textId="2AB5C8C5" w:rsidR="00C33993" w:rsidRPr="007E1CE7" w:rsidRDefault="00C33993" w:rsidP="00AE3B02">
      <w:pPr>
        <w:rPr>
          <w:rFonts w:ascii="Minion Pro" w:hAnsi="Minion Pro"/>
        </w:rPr>
      </w:pPr>
    </w:p>
    <w:sectPr w:rsidR="00C33993" w:rsidRPr="007E1CE7" w:rsidSect="00A92EAC">
      <w:type w:val="continuous"/>
      <w:pgSz w:w="11900" w:h="16840"/>
      <w:pgMar w:top="851" w:right="1268" w:bottom="1440" w:left="180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B24218" w14:textId="77777777" w:rsidR="006B128F" w:rsidRDefault="006B128F" w:rsidP="00AE3B02">
      <w:pPr>
        <w:spacing w:line="240" w:lineRule="auto"/>
      </w:pPr>
      <w:r>
        <w:separator/>
      </w:r>
    </w:p>
  </w:endnote>
  <w:endnote w:type="continuationSeparator" w:id="0">
    <w:p w14:paraId="1737FC54" w14:textId="77777777" w:rsidR="006B128F" w:rsidRDefault="006B128F" w:rsidP="00AE3B0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Minion Pro">
    <w:panose1 w:val="00000000000000000000"/>
    <w:charset w:val="00"/>
    <w:family w:val="roman"/>
    <w:notTrueType/>
    <w:pitch w:val="variable"/>
    <w:sig w:usb0="60000287" w:usb1="00000001" w:usb2="00000000" w:usb3="00000000" w:csb0="0000019F" w:csb1="00000000"/>
  </w:font>
  <w:font w:name="Palatino">
    <w:altName w:val="Book Antiqua"/>
    <w:charset w:val="00"/>
    <w:family w:val="auto"/>
    <w:pitch w:val="variable"/>
    <w:sig w:usb0="A00002FF" w:usb1="7800205A" w:usb2="14600000" w:usb3="00000000" w:csb0="000001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F64F55" w14:textId="77777777" w:rsidR="00C33993" w:rsidRDefault="00C33993" w:rsidP="007E1CE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14E16FD" w14:textId="77777777" w:rsidR="00C33993" w:rsidRDefault="00C33993" w:rsidP="007E1CE7">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CB555F" w14:textId="77777777" w:rsidR="00C33993" w:rsidRPr="007E1CE7" w:rsidRDefault="00C33993" w:rsidP="007E1CE7">
    <w:pPr>
      <w:pStyle w:val="Footer"/>
      <w:framePr w:wrap="around" w:vAnchor="text" w:hAnchor="margin" w:xAlign="right" w:y="1"/>
      <w:rPr>
        <w:rStyle w:val="PageNumber"/>
        <w:rFonts w:ascii="Palatino" w:hAnsi="Palatino"/>
      </w:rPr>
    </w:pPr>
    <w:r w:rsidRPr="007E1CE7">
      <w:rPr>
        <w:rStyle w:val="PageNumber"/>
        <w:rFonts w:ascii="Palatino" w:hAnsi="Palatino"/>
      </w:rPr>
      <w:fldChar w:fldCharType="begin"/>
    </w:r>
    <w:r w:rsidRPr="007E1CE7">
      <w:rPr>
        <w:rStyle w:val="PageNumber"/>
        <w:rFonts w:ascii="Palatino" w:hAnsi="Palatino"/>
      </w:rPr>
      <w:instrText xml:space="preserve">PAGE  </w:instrText>
    </w:r>
    <w:r w:rsidRPr="007E1CE7">
      <w:rPr>
        <w:rStyle w:val="PageNumber"/>
        <w:rFonts w:ascii="Palatino" w:hAnsi="Palatino"/>
      </w:rPr>
      <w:fldChar w:fldCharType="separate"/>
    </w:r>
    <w:r w:rsidR="003E7BE5">
      <w:rPr>
        <w:rStyle w:val="PageNumber"/>
        <w:rFonts w:ascii="Palatino" w:hAnsi="Palatino"/>
        <w:noProof/>
      </w:rPr>
      <w:t>10</w:t>
    </w:r>
    <w:r w:rsidRPr="007E1CE7">
      <w:rPr>
        <w:rStyle w:val="PageNumber"/>
        <w:rFonts w:ascii="Palatino" w:hAnsi="Palatino"/>
      </w:rPr>
      <w:fldChar w:fldCharType="end"/>
    </w:r>
  </w:p>
  <w:p w14:paraId="1396CB39" w14:textId="77777777" w:rsidR="00C33993" w:rsidRDefault="00C33993" w:rsidP="007E1CE7">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036ADF" w14:textId="77777777" w:rsidR="006B128F" w:rsidRDefault="006B128F" w:rsidP="00AE3B02">
      <w:pPr>
        <w:spacing w:line="240" w:lineRule="auto"/>
      </w:pPr>
      <w:r>
        <w:separator/>
      </w:r>
    </w:p>
  </w:footnote>
  <w:footnote w:type="continuationSeparator" w:id="0">
    <w:p w14:paraId="145DB25F" w14:textId="77777777" w:rsidR="006B128F" w:rsidRDefault="006B128F" w:rsidP="00AE3B02">
      <w:pPr>
        <w:spacing w:line="240" w:lineRule="auto"/>
      </w:pPr>
      <w:r>
        <w:continuationSeparator/>
      </w:r>
    </w:p>
  </w:footnote>
  <w:footnote w:id="1">
    <w:p w14:paraId="1B8520B7" w14:textId="77777777" w:rsidR="00C33993" w:rsidRPr="00CB0026" w:rsidRDefault="00C33993" w:rsidP="00E1298A">
      <w:pPr>
        <w:pStyle w:val="FootnoteText"/>
      </w:pPr>
      <w:r>
        <w:rPr>
          <w:rStyle w:val="FootnoteReference"/>
        </w:rPr>
        <w:footnoteRef/>
      </w:r>
      <w:r>
        <w:t xml:space="preserve"> Diagram adapted for UK spelling. Original image accessed</w:t>
      </w:r>
      <w:r w:rsidRPr="00CB0026">
        <w:t xml:space="preserve"> 29 January 2015 from: </w:t>
      </w:r>
      <w:hyperlink r:id="rId1">
        <w:r w:rsidRPr="00CB0026">
          <w:rPr>
            <w:rStyle w:val="Hyperlink"/>
          </w:rPr>
          <w:t>http://bit.ly/Esoltechnology</w:t>
        </w:r>
      </w:hyperlink>
      <w:r w:rsidRPr="00CB0026">
        <w:t xml:space="preserve"> </w:t>
      </w:r>
    </w:p>
    <w:p w14:paraId="5D44CF9D" w14:textId="77777777" w:rsidR="00C33993" w:rsidRDefault="00C33993" w:rsidP="00E1298A">
      <w:pPr>
        <w:pStyle w:val="FootnoteText"/>
      </w:pPr>
    </w:p>
  </w:footnote>
  <w:footnote w:id="2">
    <w:p w14:paraId="33DDB0A6" w14:textId="77777777" w:rsidR="00C33993" w:rsidRPr="00D969F9" w:rsidRDefault="00C33993" w:rsidP="00E1298A">
      <w:pPr>
        <w:pStyle w:val="FootnoteText"/>
      </w:pPr>
      <w:r>
        <w:rPr>
          <w:rStyle w:val="FootnoteReference"/>
        </w:rPr>
        <w:footnoteRef/>
      </w:r>
      <w:r>
        <w:t xml:space="preserve"> Contributors to the table: </w:t>
      </w:r>
      <w:r w:rsidRPr="00D969F9">
        <w:t xml:space="preserve">Nicola Pallitt, Andrew Deacon, Michael Rowe; Eunice Ivala, Muthoni Kimani, Gina Mwoombola, Jolanda Morkel, Sonja Strydom </w:t>
      </w:r>
    </w:p>
    <w:p w14:paraId="5ACE9862" w14:textId="77777777" w:rsidR="00C33993" w:rsidRDefault="00C33993" w:rsidP="00E1298A">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1C5235" w14:textId="27B7B3C5" w:rsidR="00C33993" w:rsidRDefault="00C33993">
    <w:pPr>
      <w:pStyle w:val="Header"/>
    </w:pPr>
    <w:r w:rsidRPr="00AE3B02">
      <w:rPr>
        <w:noProof/>
        <w:lang w:val="en-ZA" w:eastAsia="en-ZA"/>
      </w:rPr>
      <w:drawing>
        <wp:anchor distT="0" distB="0" distL="114300" distR="114300" simplePos="0" relativeHeight="251659264" behindDoc="0" locked="0" layoutInCell="1" allowOverlap="1" wp14:anchorId="1A8DA879" wp14:editId="4D78498F">
          <wp:simplePos x="0" y="0"/>
          <wp:positionH relativeFrom="column">
            <wp:posOffset>-114300</wp:posOffset>
          </wp:positionH>
          <wp:positionV relativeFrom="paragraph">
            <wp:posOffset>-72390</wp:posOffset>
          </wp:positionV>
          <wp:extent cx="6034227" cy="294640"/>
          <wp:effectExtent l="0" t="0" r="11430" b="1016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per_bg_top.jpg"/>
                  <pic:cNvPicPr/>
                </pic:nvPicPr>
                <pic:blipFill>
                  <a:blip r:embed="rId1">
                    <a:extLst>
                      <a:ext uri="{28A0092B-C50C-407E-A947-70E740481C1C}">
                        <a14:useLocalDpi xmlns:a14="http://schemas.microsoft.com/office/drawing/2010/main" val="0"/>
                      </a:ext>
                    </a:extLst>
                  </a:blip>
                  <a:stretch>
                    <a:fillRect/>
                  </a:stretch>
                </pic:blipFill>
                <pic:spPr>
                  <a:xfrm>
                    <a:off x="0" y="0"/>
                    <a:ext cx="6034227" cy="29464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E9E70" w14:textId="4592334B" w:rsidR="00C33993" w:rsidRDefault="00C33993">
    <w:pPr>
      <w:pStyle w:val="Header"/>
    </w:pPr>
    <w:r w:rsidRPr="00AE3B02">
      <w:rPr>
        <w:noProof/>
        <w:lang w:val="en-ZA" w:eastAsia="en-ZA"/>
      </w:rPr>
      <w:drawing>
        <wp:anchor distT="0" distB="0" distL="114300" distR="114300" simplePos="0" relativeHeight="251662336" behindDoc="0" locked="0" layoutInCell="1" allowOverlap="1" wp14:anchorId="7E6039DD" wp14:editId="14C69193">
          <wp:simplePos x="0" y="0"/>
          <wp:positionH relativeFrom="column">
            <wp:posOffset>-114300</wp:posOffset>
          </wp:positionH>
          <wp:positionV relativeFrom="paragraph">
            <wp:posOffset>-137795</wp:posOffset>
          </wp:positionV>
          <wp:extent cx="6034227" cy="294640"/>
          <wp:effectExtent l="0" t="0" r="11430" b="1016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per_bg_top.jpg"/>
                  <pic:cNvPicPr/>
                </pic:nvPicPr>
                <pic:blipFill>
                  <a:blip r:embed="rId1">
                    <a:extLst>
                      <a:ext uri="{28A0092B-C50C-407E-A947-70E740481C1C}">
                        <a14:useLocalDpi xmlns:a14="http://schemas.microsoft.com/office/drawing/2010/main" val="0"/>
                      </a:ext>
                    </a:extLst>
                  </a:blip>
                  <a:stretch>
                    <a:fillRect/>
                  </a:stretch>
                </pic:blipFill>
                <pic:spPr>
                  <a:xfrm>
                    <a:off x="0" y="0"/>
                    <a:ext cx="6034227" cy="2946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B0A4A"/>
    <w:multiLevelType w:val="multilevel"/>
    <w:tmpl w:val="F196C89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nsid w:val="074751D1"/>
    <w:multiLevelType w:val="hybridMultilevel"/>
    <w:tmpl w:val="EA1E17E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nsid w:val="1C7E466C"/>
    <w:multiLevelType w:val="multilevel"/>
    <w:tmpl w:val="CC069D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5557941"/>
    <w:multiLevelType w:val="multilevel"/>
    <w:tmpl w:val="2390C55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nsid w:val="2F603DC9"/>
    <w:multiLevelType w:val="hybridMultilevel"/>
    <w:tmpl w:val="EF58AA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49C0530"/>
    <w:multiLevelType w:val="multilevel"/>
    <w:tmpl w:val="5490A5F4"/>
    <w:lvl w:ilvl="0">
      <w:start w:val="1"/>
      <w:numFmt w:val="decimal"/>
      <w:lvlText w:val="%1."/>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nsid w:val="3D16296C"/>
    <w:multiLevelType w:val="hybridMultilevel"/>
    <w:tmpl w:val="83A4C9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E40612A"/>
    <w:multiLevelType w:val="multilevel"/>
    <w:tmpl w:val="87AE8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0E97C8A"/>
    <w:multiLevelType w:val="hybridMultilevel"/>
    <w:tmpl w:val="62827F86"/>
    <w:lvl w:ilvl="0" w:tplc="8AEE771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DDA74D8"/>
    <w:multiLevelType w:val="multilevel"/>
    <w:tmpl w:val="A45615D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nsid w:val="52C76AAA"/>
    <w:multiLevelType w:val="multilevel"/>
    <w:tmpl w:val="7A660B6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
    <w:nsid w:val="5CAB5DC3"/>
    <w:multiLevelType w:val="hybridMultilevel"/>
    <w:tmpl w:val="81D408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DB36E3F"/>
    <w:multiLevelType w:val="multilevel"/>
    <w:tmpl w:val="7F44E82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
    <w:nsid w:val="69B34AE9"/>
    <w:multiLevelType w:val="hybridMultilevel"/>
    <w:tmpl w:val="0526CC4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nsid w:val="77B6566B"/>
    <w:multiLevelType w:val="multilevel"/>
    <w:tmpl w:val="0A00111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9"/>
  </w:num>
  <w:num w:numId="2">
    <w:abstractNumId w:val="0"/>
  </w:num>
  <w:num w:numId="3">
    <w:abstractNumId w:val="14"/>
  </w:num>
  <w:num w:numId="4">
    <w:abstractNumId w:val="3"/>
  </w:num>
  <w:num w:numId="5">
    <w:abstractNumId w:val="1"/>
  </w:num>
  <w:num w:numId="6">
    <w:abstractNumId w:val="13"/>
  </w:num>
  <w:num w:numId="7">
    <w:abstractNumId w:val="6"/>
  </w:num>
  <w:num w:numId="8">
    <w:abstractNumId w:val="8"/>
  </w:num>
  <w:num w:numId="9">
    <w:abstractNumId w:val="7"/>
  </w:num>
  <w:num w:numId="10">
    <w:abstractNumId w:val="2"/>
  </w:num>
  <w:num w:numId="11">
    <w:abstractNumId w:val="5"/>
  </w:num>
  <w:num w:numId="12">
    <w:abstractNumId w:val="12"/>
  </w:num>
  <w:num w:numId="13">
    <w:abstractNumId w:val="10"/>
  </w:num>
  <w:num w:numId="14">
    <w:abstractNumId w:val="4"/>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3B02"/>
    <w:rsid w:val="00015248"/>
    <w:rsid w:val="00083DA0"/>
    <w:rsid w:val="000B2BD3"/>
    <w:rsid w:val="0012285D"/>
    <w:rsid w:val="00155BC2"/>
    <w:rsid w:val="001F3563"/>
    <w:rsid w:val="00210BE5"/>
    <w:rsid w:val="003B2FC4"/>
    <w:rsid w:val="003B3640"/>
    <w:rsid w:val="003E7848"/>
    <w:rsid w:val="003E7BE5"/>
    <w:rsid w:val="00411E7B"/>
    <w:rsid w:val="004E55B7"/>
    <w:rsid w:val="0062380A"/>
    <w:rsid w:val="00625D6A"/>
    <w:rsid w:val="0063281E"/>
    <w:rsid w:val="00695F8D"/>
    <w:rsid w:val="006B128F"/>
    <w:rsid w:val="007E1CE7"/>
    <w:rsid w:val="008D4F32"/>
    <w:rsid w:val="00924067"/>
    <w:rsid w:val="00937122"/>
    <w:rsid w:val="00986858"/>
    <w:rsid w:val="00A14E6B"/>
    <w:rsid w:val="00A92EAC"/>
    <w:rsid w:val="00AE3B02"/>
    <w:rsid w:val="00B66D99"/>
    <w:rsid w:val="00B91ED7"/>
    <w:rsid w:val="00C11F8D"/>
    <w:rsid w:val="00C33993"/>
    <w:rsid w:val="00CF799D"/>
    <w:rsid w:val="00D034A5"/>
    <w:rsid w:val="00D525F2"/>
    <w:rsid w:val="00E1298A"/>
    <w:rsid w:val="00E203EC"/>
    <w:rsid w:val="00E902EA"/>
    <w:rsid w:val="00E91E06"/>
    <w:rsid w:val="00F057B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633827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AE3B02"/>
    <w:pPr>
      <w:spacing w:line="276" w:lineRule="auto"/>
    </w:pPr>
    <w:rPr>
      <w:rFonts w:ascii="Arial" w:eastAsia="Arial" w:hAnsi="Arial" w:cs="Arial"/>
      <w:color w:val="000000"/>
      <w:sz w:val="22"/>
      <w:szCs w:val="20"/>
      <w:lang w:val="en-ZA" w:eastAsia="en-ZA"/>
    </w:rPr>
  </w:style>
  <w:style w:type="paragraph" w:styleId="Heading1">
    <w:name w:val="heading 1"/>
    <w:basedOn w:val="Normal"/>
    <w:next w:val="Normal"/>
    <w:link w:val="Heading1Char"/>
    <w:rsid w:val="00AE3B02"/>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link w:val="Heading2Char"/>
    <w:uiPriority w:val="9"/>
    <w:semiHidden/>
    <w:unhideWhenUsed/>
    <w:qFormat/>
    <w:rsid w:val="00155BC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155BC2"/>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E3B02"/>
    <w:pPr>
      <w:tabs>
        <w:tab w:val="center" w:pos="4320"/>
        <w:tab w:val="right" w:pos="8640"/>
      </w:tabs>
      <w:spacing w:line="240" w:lineRule="auto"/>
    </w:pPr>
    <w:rPr>
      <w:rFonts w:asciiTheme="minorHAnsi" w:eastAsiaTheme="minorEastAsia" w:hAnsiTheme="minorHAnsi" w:cstheme="minorBidi"/>
      <w:color w:val="auto"/>
      <w:sz w:val="24"/>
      <w:szCs w:val="24"/>
      <w:lang w:val="en-US" w:eastAsia="en-US"/>
    </w:rPr>
  </w:style>
  <w:style w:type="character" w:customStyle="1" w:styleId="HeaderChar">
    <w:name w:val="Header Char"/>
    <w:basedOn w:val="DefaultParagraphFont"/>
    <w:link w:val="Header"/>
    <w:uiPriority w:val="99"/>
    <w:rsid w:val="00AE3B02"/>
  </w:style>
  <w:style w:type="paragraph" w:styleId="Footer">
    <w:name w:val="footer"/>
    <w:basedOn w:val="Normal"/>
    <w:link w:val="FooterChar"/>
    <w:uiPriority w:val="99"/>
    <w:unhideWhenUsed/>
    <w:rsid w:val="00AE3B02"/>
    <w:pPr>
      <w:tabs>
        <w:tab w:val="center" w:pos="4320"/>
        <w:tab w:val="right" w:pos="8640"/>
      </w:tabs>
      <w:spacing w:line="240" w:lineRule="auto"/>
    </w:pPr>
    <w:rPr>
      <w:rFonts w:asciiTheme="minorHAnsi" w:eastAsiaTheme="minorEastAsia" w:hAnsiTheme="minorHAnsi" w:cstheme="minorBidi"/>
      <w:color w:val="auto"/>
      <w:sz w:val="24"/>
      <w:szCs w:val="24"/>
      <w:lang w:val="en-US" w:eastAsia="en-US"/>
    </w:rPr>
  </w:style>
  <w:style w:type="character" w:customStyle="1" w:styleId="FooterChar">
    <w:name w:val="Footer Char"/>
    <w:basedOn w:val="DefaultParagraphFont"/>
    <w:link w:val="Footer"/>
    <w:uiPriority w:val="99"/>
    <w:rsid w:val="00AE3B02"/>
  </w:style>
  <w:style w:type="character" w:customStyle="1" w:styleId="Heading1Char">
    <w:name w:val="Heading 1 Char"/>
    <w:basedOn w:val="DefaultParagraphFont"/>
    <w:link w:val="Heading1"/>
    <w:rsid w:val="00AE3B02"/>
    <w:rPr>
      <w:rFonts w:ascii="Trebuchet MS" w:eastAsia="Trebuchet MS" w:hAnsi="Trebuchet MS" w:cs="Trebuchet MS"/>
      <w:color w:val="000000"/>
      <w:sz w:val="32"/>
      <w:szCs w:val="20"/>
      <w:lang w:val="en-ZA" w:eastAsia="en-ZA"/>
    </w:rPr>
  </w:style>
  <w:style w:type="paragraph" w:styleId="Title">
    <w:name w:val="Title"/>
    <w:basedOn w:val="Normal"/>
    <w:next w:val="Normal"/>
    <w:link w:val="TitleChar"/>
    <w:rsid w:val="00AE3B02"/>
    <w:pPr>
      <w:keepNext/>
      <w:keepLines/>
      <w:contextualSpacing/>
    </w:pPr>
    <w:rPr>
      <w:rFonts w:ascii="Trebuchet MS" w:eastAsia="Trebuchet MS" w:hAnsi="Trebuchet MS" w:cs="Trebuchet MS"/>
      <w:sz w:val="42"/>
    </w:rPr>
  </w:style>
  <w:style w:type="character" w:customStyle="1" w:styleId="TitleChar">
    <w:name w:val="Title Char"/>
    <w:basedOn w:val="DefaultParagraphFont"/>
    <w:link w:val="Title"/>
    <w:rsid w:val="00AE3B02"/>
    <w:rPr>
      <w:rFonts w:ascii="Trebuchet MS" w:eastAsia="Trebuchet MS" w:hAnsi="Trebuchet MS" w:cs="Trebuchet MS"/>
      <w:color w:val="000000"/>
      <w:sz w:val="42"/>
      <w:szCs w:val="20"/>
      <w:lang w:val="en-ZA" w:eastAsia="en-ZA"/>
    </w:rPr>
  </w:style>
  <w:style w:type="paragraph" w:styleId="BalloonText">
    <w:name w:val="Balloon Text"/>
    <w:basedOn w:val="Normal"/>
    <w:link w:val="BalloonTextChar"/>
    <w:uiPriority w:val="99"/>
    <w:semiHidden/>
    <w:unhideWhenUsed/>
    <w:rsid w:val="00AE3B02"/>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AE3B02"/>
    <w:rPr>
      <w:rFonts w:ascii="Lucida Grande" w:eastAsia="Arial" w:hAnsi="Lucida Grande" w:cs="Arial"/>
      <w:color w:val="000000"/>
      <w:sz w:val="18"/>
      <w:szCs w:val="18"/>
      <w:lang w:val="en-ZA" w:eastAsia="en-ZA"/>
    </w:rPr>
  </w:style>
  <w:style w:type="table" w:styleId="MediumGrid3">
    <w:name w:val="Medium Grid 3"/>
    <w:basedOn w:val="TableNormal"/>
    <w:uiPriority w:val="69"/>
    <w:rsid w:val="00AE3B02"/>
    <w:rPr>
      <w:rFonts w:ascii="Arial" w:eastAsia="Arial" w:hAnsi="Arial" w:cs="Arial"/>
      <w:color w:val="000000"/>
      <w:sz w:val="22"/>
      <w:szCs w:val="20"/>
      <w:lang w:val="en-ZA" w:eastAsia="en-Z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character" w:styleId="Hyperlink">
    <w:name w:val="Hyperlink"/>
    <w:basedOn w:val="DefaultParagraphFont"/>
    <w:uiPriority w:val="99"/>
    <w:unhideWhenUsed/>
    <w:rsid w:val="00AE3B02"/>
    <w:rPr>
      <w:color w:val="0000FF" w:themeColor="hyperlink"/>
      <w:u w:val="single"/>
    </w:rPr>
  </w:style>
  <w:style w:type="paragraph" w:styleId="Caption">
    <w:name w:val="caption"/>
    <w:basedOn w:val="Normal"/>
    <w:next w:val="Normal"/>
    <w:uiPriority w:val="35"/>
    <w:unhideWhenUsed/>
    <w:qFormat/>
    <w:rsid w:val="004E55B7"/>
    <w:pPr>
      <w:spacing w:after="200" w:line="240" w:lineRule="auto"/>
    </w:pPr>
    <w:rPr>
      <w:b/>
      <w:bCs/>
      <w:color w:val="4F81BD" w:themeColor="accent1"/>
      <w:sz w:val="18"/>
      <w:szCs w:val="18"/>
    </w:rPr>
  </w:style>
  <w:style w:type="character" w:styleId="Emphasis">
    <w:name w:val="Emphasis"/>
    <w:basedOn w:val="DefaultParagraphFont"/>
    <w:uiPriority w:val="20"/>
    <w:qFormat/>
    <w:rsid w:val="007E1CE7"/>
    <w:rPr>
      <w:i/>
      <w:iCs/>
    </w:rPr>
  </w:style>
  <w:style w:type="character" w:styleId="FollowedHyperlink">
    <w:name w:val="FollowedHyperlink"/>
    <w:basedOn w:val="DefaultParagraphFont"/>
    <w:uiPriority w:val="99"/>
    <w:semiHidden/>
    <w:unhideWhenUsed/>
    <w:rsid w:val="007E1CE7"/>
    <w:rPr>
      <w:color w:val="800080" w:themeColor="followedHyperlink"/>
      <w:u w:val="single"/>
    </w:rPr>
  </w:style>
  <w:style w:type="character" w:styleId="PageNumber">
    <w:name w:val="page number"/>
    <w:basedOn w:val="DefaultParagraphFont"/>
    <w:uiPriority w:val="99"/>
    <w:semiHidden/>
    <w:unhideWhenUsed/>
    <w:rsid w:val="007E1CE7"/>
  </w:style>
  <w:style w:type="character" w:customStyle="1" w:styleId="Heading2Char">
    <w:name w:val="Heading 2 Char"/>
    <w:basedOn w:val="DefaultParagraphFont"/>
    <w:link w:val="Heading2"/>
    <w:uiPriority w:val="9"/>
    <w:semiHidden/>
    <w:rsid w:val="00155BC2"/>
    <w:rPr>
      <w:rFonts w:asciiTheme="majorHAnsi" w:eastAsiaTheme="majorEastAsia" w:hAnsiTheme="majorHAnsi" w:cstheme="majorBidi"/>
      <w:b/>
      <w:bCs/>
      <w:color w:val="4F81BD" w:themeColor="accent1"/>
      <w:sz w:val="26"/>
      <w:szCs w:val="26"/>
      <w:lang w:val="en-ZA" w:eastAsia="en-ZA"/>
    </w:rPr>
  </w:style>
  <w:style w:type="paragraph" w:styleId="FootnoteText">
    <w:name w:val="footnote text"/>
    <w:basedOn w:val="Normal"/>
    <w:link w:val="FootnoteTextChar"/>
    <w:uiPriority w:val="99"/>
    <w:semiHidden/>
    <w:unhideWhenUsed/>
    <w:rsid w:val="00155BC2"/>
    <w:pPr>
      <w:spacing w:line="240" w:lineRule="auto"/>
    </w:pPr>
    <w:rPr>
      <w:sz w:val="20"/>
    </w:rPr>
  </w:style>
  <w:style w:type="character" w:customStyle="1" w:styleId="FootnoteTextChar">
    <w:name w:val="Footnote Text Char"/>
    <w:basedOn w:val="DefaultParagraphFont"/>
    <w:link w:val="FootnoteText"/>
    <w:uiPriority w:val="99"/>
    <w:semiHidden/>
    <w:rsid w:val="00155BC2"/>
    <w:rPr>
      <w:rFonts w:ascii="Arial" w:eastAsia="Arial" w:hAnsi="Arial" w:cs="Arial"/>
      <w:color w:val="000000"/>
      <w:sz w:val="20"/>
      <w:szCs w:val="20"/>
      <w:lang w:val="en-ZA" w:eastAsia="en-ZA"/>
    </w:rPr>
  </w:style>
  <w:style w:type="character" w:styleId="FootnoteReference">
    <w:name w:val="footnote reference"/>
    <w:basedOn w:val="DefaultParagraphFont"/>
    <w:uiPriority w:val="99"/>
    <w:semiHidden/>
    <w:unhideWhenUsed/>
    <w:rsid w:val="00155BC2"/>
    <w:rPr>
      <w:vertAlign w:val="superscript"/>
    </w:rPr>
  </w:style>
  <w:style w:type="paragraph" w:customStyle="1" w:styleId="Style1">
    <w:name w:val="Style1"/>
    <w:basedOn w:val="Normal"/>
    <w:link w:val="Style1Char"/>
    <w:qFormat/>
    <w:rsid w:val="00155BC2"/>
    <w:pPr>
      <w:spacing w:line="360" w:lineRule="auto"/>
    </w:pPr>
    <w:rPr>
      <w:rFonts w:ascii="Trebuchet MS" w:eastAsia="Trebuchet MS" w:hAnsi="Trebuchet MS" w:cs="Trebuchet MS"/>
      <w:b/>
      <w:sz w:val="26"/>
    </w:rPr>
  </w:style>
  <w:style w:type="paragraph" w:customStyle="1" w:styleId="Normal1">
    <w:name w:val="Normal1"/>
    <w:basedOn w:val="Normal"/>
    <w:link w:val="normalChar"/>
    <w:qFormat/>
    <w:rsid w:val="00155BC2"/>
    <w:pPr>
      <w:spacing w:line="360" w:lineRule="auto"/>
    </w:pPr>
  </w:style>
  <w:style w:type="character" w:customStyle="1" w:styleId="Style1Char">
    <w:name w:val="Style1 Char"/>
    <w:basedOn w:val="DefaultParagraphFont"/>
    <w:link w:val="Style1"/>
    <w:rsid w:val="00155BC2"/>
    <w:rPr>
      <w:rFonts w:ascii="Trebuchet MS" w:eastAsia="Trebuchet MS" w:hAnsi="Trebuchet MS" w:cs="Trebuchet MS"/>
      <w:b/>
      <w:color w:val="000000"/>
      <w:sz w:val="26"/>
      <w:szCs w:val="20"/>
      <w:lang w:val="en-ZA" w:eastAsia="en-ZA"/>
    </w:rPr>
  </w:style>
  <w:style w:type="character" w:customStyle="1" w:styleId="normalChar">
    <w:name w:val="normal Char"/>
    <w:basedOn w:val="DefaultParagraphFont"/>
    <w:link w:val="Normal1"/>
    <w:rsid w:val="00155BC2"/>
    <w:rPr>
      <w:rFonts w:ascii="Arial" w:eastAsia="Arial" w:hAnsi="Arial" w:cs="Arial"/>
      <w:color w:val="000000"/>
      <w:sz w:val="22"/>
      <w:szCs w:val="20"/>
      <w:lang w:val="en-ZA" w:eastAsia="en-ZA"/>
    </w:rPr>
  </w:style>
  <w:style w:type="character" w:customStyle="1" w:styleId="Heading3Char">
    <w:name w:val="Heading 3 Char"/>
    <w:basedOn w:val="DefaultParagraphFont"/>
    <w:link w:val="Heading3"/>
    <w:uiPriority w:val="9"/>
    <w:semiHidden/>
    <w:rsid w:val="00155BC2"/>
    <w:rPr>
      <w:rFonts w:asciiTheme="majorHAnsi" w:eastAsiaTheme="majorEastAsia" w:hAnsiTheme="majorHAnsi" w:cstheme="majorBidi"/>
      <w:b/>
      <w:bCs/>
      <w:color w:val="4F81BD" w:themeColor="accent1"/>
      <w:sz w:val="22"/>
      <w:szCs w:val="20"/>
      <w:lang w:val="en-ZA" w:eastAsia="en-ZA"/>
    </w:rPr>
  </w:style>
  <w:style w:type="paragraph" w:styleId="ListParagraph">
    <w:name w:val="List Paragraph"/>
    <w:basedOn w:val="Normal"/>
    <w:uiPriority w:val="34"/>
    <w:qFormat/>
    <w:rsid w:val="00155BC2"/>
    <w:pPr>
      <w:ind w:left="720"/>
      <w:contextualSpacing/>
    </w:pPr>
  </w:style>
  <w:style w:type="character" w:customStyle="1" w:styleId="byline">
    <w:name w:val="byline"/>
    <w:basedOn w:val="DefaultParagraphFont"/>
    <w:rsid w:val="00155BC2"/>
  </w:style>
  <w:style w:type="table" w:styleId="ColorfulList">
    <w:name w:val="Colorful List"/>
    <w:basedOn w:val="TableNormal"/>
    <w:uiPriority w:val="72"/>
    <w:rsid w:val="00B91ED7"/>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AE3B02"/>
    <w:pPr>
      <w:spacing w:line="276" w:lineRule="auto"/>
    </w:pPr>
    <w:rPr>
      <w:rFonts w:ascii="Arial" w:eastAsia="Arial" w:hAnsi="Arial" w:cs="Arial"/>
      <w:color w:val="000000"/>
      <w:sz w:val="22"/>
      <w:szCs w:val="20"/>
      <w:lang w:val="en-ZA" w:eastAsia="en-ZA"/>
    </w:rPr>
  </w:style>
  <w:style w:type="paragraph" w:styleId="Heading1">
    <w:name w:val="heading 1"/>
    <w:basedOn w:val="Normal"/>
    <w:next w:val="Normal"/>
    <w:link w:val="Heading1Char"/>
    <w:rsid w:val="00AE3B02"/>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link w:val="Heading2Char"/>
    <w:uiPriority w:val="9"/>
    <w:semiHidden/>
    <w:unhideWhenUsed/>
    <w:qFormat/>
    <w:rsid w:val="00155BC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155BC2"/>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E3B02"/>
    <w:pPr>
      <w:tabs>
        <w:tab w:val="center" w:pos="4320"/>
        <w:tab w:val="right" w:pos="8640"/>
      </w:tabs>
      <w:spacing w:line="240" w:lineRule="auto"/>
    </w:pPr>
    <w:rPr>
      <w:rFonts w:asciiTheme="minorHAnsi" w:eastAsiaTheme="minorEastAsia" w:hAnsiTheme="minorHAnsi" w:cstheme="minorBidi"/>
      <w:color w:val="auto"/>
      <w:sz w:val="24"/>
      <w:szCs w:val="24"/>
      <w:lang w:val="en-US" w:eastAsia="en-US"/>
    </w:rPr>
  </w:style>
  <w:style w:type="character" w:customStyle="1" w:styleId="HeaderChar">
    <w:name w:val="Header Char"/>
    <w:basedOn w:val="DefaultParagraphFont"/>
    <w:link w:val="Header"/>
    <w:uiPriority w:val="99"/>
    <w:rsid w:val="00AE3B02"/>
  </w:style>
  <w:style w:type="paragraph" w:styleId="Footer">
    <w:name w:val="footer"/>
    <w:basedOn w:val="Normal"/>
    <w:link w:val="FooterChar"/>
    <w:uiPriority w:val="99"/>
    <w:unhideWhenUsed/>
    <w:rsid w:val="00AE3B02"/>
    <w:pPr>
      <w:tabs>
        <w:tab w:val="center" w:pos="4320"/>
        <w:tab w:val="right" w:pos="8640"/>
      </w:tabs>
      <w:spacing w:line="240" w:lineRule="auto"/>
    </w:pPr>
    <w:rPr>
      <w:rFonts w:asciiTheme="minorHAnsi" w:eastAsiaTheme="minorEastAsia" w:hAnsiTheme="minorHAnsi" w:cstheme="minorBidi"/>
      <w:color w:val="auto"/>
      <w:sz w:val="24"/>
      <w:szCs w:val="24"/>
      <w:lang w:val="en-US" w:eastAsia="en-US"/>
    </w:rPr>
  </w:style>
  <w:style w:type="character" w:customStyle="1" w:styleId="FooterChar">
    <w:name w:val="Footer Char"/>
    <w:basedOn w:val="DefaultParagraphFont"/>
    <w:link w:val="Footer"/>
    <w:uiPriority w:val="99"/>
    <w:rsid w:val="00AE3B02"/>
  </w:style>
  <w:style w:type="character" w:customStyle="1" w:styleId="Heading1Char">
    <w:name w:val="Heading 1 Char"/>
    <w:basedOn w:val="DefaultParagraphFont"/>
    <w:link w:val="Heading1"/>
    <w:rsid w:val="00AE3B02"/>
    <w:rPr>
      <w:rFonts w:ascii="Trebuchet MS" w:eastAsia="Trebuchet MS" w:hAnsi="Trebuchet MS" w:cs="Trebuchet MS"/>
      <w:color w:val="000000"/>
      <w:sz w:val="32"/>
      <w:szCs w:val="20"/>
      <w:lang w:val="en-ZA" w:eastAsia="en-ZA"/>
    </w:rPr>
  </w:style>
  <w:style w:type="paragraph" w:styleId="Title">
    <w:name w:val="Title"/>
    <w:basedOn w:val="Normal"/>
    <w:next w:val="Normal"/>
    <w:link w:val="TitleChar"/>
    <w:rsid w:val="00AE3B02"/>
    <w:pPr>
      <w:keepNext/>
      <w:keepLines/>
      <w:contextualSpacing/>
    </w:pPr>
    <w:rPr>
      <w:rFonts w:ascii="Trebuchet MS" w:eastAsia="Trebuchet MS" w:hAnsi="Trebuchet MS" w:cs="Trebuchet MS"/>
      <w:sz w:val="42"/>
    </w:rPr>
  </w:style>
  <w:style w:type="character" w:customStyle="1" w:styleId="TitleChar">
    <w:name w:val="Title Char"/>
    <w:basedOn w:val="DefaultParagraphFont"/>
    <w:link w:val="Title"/>
    <w:rsid w:val="00AE3B02"/>
    <w:rPr>
      <w:rFonts w:ascii="Trebuchet MS" w:eastAsia="Trebuchet MS" w:hAnsi="Trebuchet MS" w:cs="Trebuchet MS"/>
      <w:color w:val="000000"/>
      <w:sz w:val="42"/>
      <w:szCs w:val="20"/>
      <w:lang w:val="en-ZA" w:eastAsia="en-ZA"/>
    </w:rPr>
  </w:style>
  <w:style w:type="paragraph" w:styleId="BalloonText">
    <w:name w:val="Balloon Text"/>
    <w:basedOn w:val="Normal"/>
    <w:link w:val="BalloonTextChar"/>
    <w:uiPriority w:val="99"/>
    <w:semiHidden/>
    <w:unhideWhenUsed/>
    <w:rsid w:val="00AE3B02"/>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AE3B02"/>
    <w:rPr>
      <w:rFonts w:ascii="Lucida Grande" w:eastAsia="Arial" w:hAnsi="Lucida Grande" w:cs="Arial"/>
      <w:color w:val="000000"/>
      <w:sz w:val="18"/>
      <w:szCs w:val="18"/>
      <w:lang w:val="en-ZA" w:eastAsia="en-ZA"/>
    </w:rPr>
  </w:style>
  <w:style w:type="table" w:styleId="MediumGrid3">
    <w:name w:val="Medium Grid 3"/>
    <w:basedOn w:val="TableNormal"/>
    <w:uiPriority w:val="69"/>
    <w:rsid w:val="00AE3B02"/>
    <w:rPr>
      <w:rFonts w:ascii="Arial" w:eastAsia="Arial" w:hAnsi="Arial" w:cs="Arial"/>
      <w:color w:val="000000"/>
      <w:sz w:val="22"/>
      <w:szCs w:val="20"/>
      <w:lang w:val="en-ZA" w:eastAsia="en-Z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character" w:styleId="Hyperlink">
    <w:name w:val="Hyperlink"/>
    <w:basedOn w:val="DefaultParagraphFont"/>
    <w:uiPriority w:val="99"/>
    <w:unhideWhenUsed/>
    <w:rsid w:val="00AE3B02"/>
    <w:rPr>
      <w:color w:val="0000FF" w:themeColor="hyperlink"/>
      <w:u w:val="single"/>
    </w:rPr>
  </w:style>
  <w:style w:type="paragraph" w:styleId="Caption">
    <w:name w:val="caption"/>
    <w:basedOn w:val="Normal"/>
    <w:next w:val="Normal"/>
    <w:uiPriority w:val="35"/>
    <w:unhideWhenUsed/>
    <w:qFormat/>
    <w:rsid w:val="004E55B7"/>
    <w:pPr>
      <w:spacing w:after="200" w:line="240" w:lineRule="auto"/>
    </w:pPr>
    <w:rPr>
      <w:b/>
      <w:bCs/>
      <w:color w:val="4F81BD" w:themeColor="accent1"/>
      <w:sz w:val="18"/>
      <w:szCs w:val="18"/>
    </w:rPr>
  </w:style>
  <w:style w:type="character" w:styleId="Emphasis">
    <w:name w:val="Emphasis"/>
    <w:basedOn w:val="DefaultParagraphFont"/>
    <w:uiPriority w:val="20"/>
    <w:qFormat/>
    <w:rsid w:val="007E1CE7"/>
    <w:rPr>
      <w:i/>
      <w:iCs/>
    </w:rPr>
  </w:style>
  <w:style w:type="character" w:styleId="FollowedHyperlink">
    <w:name w:val="FollowedHyperlink"/>
    <w:basedOn w:val="DefaultParagraphFont"/>
    <w:uiPriority w:val="99"/>
    <w:semiHidden/>
    <w:unhideWhenUsed/>
    <w:rsid w:val="007E1CE7"/>
    <w:rPr>
      <w:color w:val="800080" w:themeColor="followedHyperlink"/>
      <w:u w:val="single"/>
    </w:rPr>
  </w:style>
  <w:style w:type="character" w:styleId="PageNumber">
    <w:name w:val="page number"/>
    <w:basedOn w:val="DefaultParagraphFont"/>
    <w:uiPriority w:val="99"/>
    <w:semiHidden/>
    <w:unhideWhenUsed/>
    <w:rsid w:val="007E1CE7"/>
  </w:style>
  <w:style w:type="character" w:customStyle="1" w:styleId="Heading2Char">
    <w:name w:val="Heading 2 Char"/>
    <w:basedOn w:val="DefaultParagraphFont"/>
    <w:link w:val="Heading2"/>
    <w:uiPriority w:val="9"/>
    <w:semiHidden/>
    <w:rsid w:val="00155BC2"/>
    <w:rPr>
      <w:rFonts w:asciiTheme="majorHAnsi" w:eastAsiaTheme="majorEastAsia" w:hAnsiTheme="majorHAnsi" w:cstheme="majorBidi"/>
      <w:b/>
      <w:bCs/>
      <w:color w:val="4F81BD" w:themeColor="accent1"/>
      <w:sz w:val="26"/>
      <w:szCs w:val="26"/>
      <w:lang w:val="en-ZA" w:eastAsia="en-ZA"/>
    </w:rPr>
  </w:style>
  <w:style w:type="paragraph" w:styleId="FootnoteText">
    <w:name w:val="footnote text"/>
    <w:basedOn w:val="Normal"/>
    <w:link w:val="FootnoteTextChar"/>
    <w:uiPriority w:val="99"/>
    <w:semiHidden/>
    <w:unhideWhenUsed/>
    <w:rsid w:val="00155BC2"/>
    <w:pPr>
      <w:spacing w:line="240" w:lineRule="auto"/>
    </w:pPr>
    <w:rPr>
      <w:sz w:val="20"/>
    </w:rPr>
  </w:style>
  <w:style w:type="character" w:customStyle="1" w:styleId="FootnoteTextChar">
    <w:name w:val="Footnote Text Char"/>
    <w:basedOn w:val="DefaultParagraphFont"/>
    <w:link w:val="FootnoteText"/>
    <w:uiPriority w:val="99"/>
    <w:semiHidden/>
    <w:rsid w:val="00155BC2"/>
    <w:rPr>
      <w:rFonts w:ascii="Arial" w:eastAsia="Arial" w:hAnsi="Arial" w:cs="Arial"/>
      <w:color w:val="000000"/>
      <w:sz w:val="20"/>
      <w:szCs w:val="20"/>
      <w:lang w:val="en-ZA" w:eastAsia="en-ZA"/>
    </w:rPr>
  </w:style>
  <w:style w:type="character" w:styleId="FootnoteReference">
    <w:name w:val="footnote reference"/>
    <w:basedOn w:val="DefaultParagraphFont"/>
    <w:uiPriority w:val="99"/>
    <w:semiHidden/>
    <w:unhideWhenUsed/>
    <w:rsid w:val="00155BC2"/>
    <w:rPr>
      <w:vertAlign w:val="superscript"/>
    </w:rPr>
  </w:style>
  <w:style w:type="paragraph" w:customStyle="1" w:styleId="Style1">
    <w:name w:val="Style1"/>
    <w:basedOn w:val="Normal"/>
    <w:link w:val="Style1Char"/>
    <w:qFormat/>
    <w:rsid w:val="00155BC2"/>
    <w:pPr>
      <w:spacing w:line="360" w:lineRule="auto"/>
    </w:pPr>
    <w:rPr>
      <w:rFonts w:ascii="Trebuchet MS" w:eastAsia="Trebuchet MS" w:hAnsi="Trebuchet MS" w:cs="Trebuchet MS"/>
      <w:b/>
      <w:sz w:val="26"/>
    </w:rPr>
  </w:style>
  <w:style w:type="paragraph" w:customStyle="1" w:styleId="Normal1">
    <w:name w:val="Normal1"/>
    <w:basedOn w:val="Normal"/>
    <w:link w:val="normalChar"/>
    <w:qFormat/>
    <w:rsid w:val="00155BC2"/>
    <w:pPr>
      <w:spacing w:line="360" w:lineRule="auto"/>
    </w:pPr>
  </w:style>
  <w:style w:type="character" w:customStyle="1" w:styleId="Style1Char">
    <w:name w:val="Style1 Char"/>
    <w:basedOn w:val="DefaultParagraphFont"/>
    <w:link w:val="Style1"/>
    <w:rsid w:val="00155BC2"/>
    <w:rPr>
      <w:rFonts w:ascii="Trebuchet MS" w:eastAsia="Trebuchet MS" w:hAnsi="Trebuchet MS" w:cs="Trebuchet MS"/>
      <w:b/>
      <w:color w:val="000000"/>
      <w:sz w:val="26"/>
      <w:szCs w:val="20"/>
      <w:lang w:val="en-ZA" w:eastAsia="en-ZA"/>
    </w:rPr>
  </w:style>
  <w:style w:type="character" w:customStyle="1" w:styleId="normalChar">
    <w:name w:val="normal Char"/>
    <w:basedOn w:val="DefaultParagraphFont"/>
    <w:link w:val="Normal1"/>
    <w:rsid w:val="00155BC2"/>
    <w:rPr>
      <w:rFonts w:ascii="Arial" w:eastAsia="Arial" w:hAnsi="Arial" w:cs="Arial"/>
      <w:color w:val="000000"/>
      <w:sz w:val="22"/>
      <w:szCs w:val="20"/>
      <w:lang w:val="en-ZA" w:eastAsia="en-ZA"/>
    </w:rPr>
  </w:style>
  <w:style w:type="character" w:customStyle="1" w:styleId="Heading3Char">
    <w:name w:val="Heading 3 Char"/>
    <w:basedOn w:val="DefaultParagraphFont"/>
    <w:link w:val="Heading3"/>
    <w:uiPriority w:val="9"/>
    <w:semiHidden/>
    <w:rsid w:val="00155BC2"/>
    <w:rPr>
      <w:rFonts w:asciiTheme="majorHAnsi" w:eastAsiaTheme="majorEastAsia" w:hAnsiTheme="majorHAnsi" w:cstheme="majorBidi"/>
      <w:b/>
      <w:bCs/>
      <w:color w:val="4F81BD" w:themeColor="accent1"/>
      <w:sz w:val="22"/>
      <w:szCs w:val="20"/>
      <w:lang w:val="en-ZA" w:eastAsia="en-ZA"/>
    </w:rPr>
  </w:style>
  <w:style w:type="paragraph" w:styleId="ListParagraph">
    <w:name w:val="List Paragraph"/>
    <w:basedOn w:val="Normal"/>
    <w:uiPriority w:val="34"/>
    <w:qFormat/>
    <w:rsid w:val="00155BC2"/>
    <w:pPr>
      <w:ind w:left="720"/>
      <w:contextualSpacing/>
    </w:pPr>
  </w:style>
  <w:style w:type="character" w:customStyle="1" w:styleId="byline">
    <w:name w:val="byline"/>
    <w:basedOn w:val="DefaultParagraphFont"/>
    <w:rsid w:val="00155BC2"/>
  </w:style>
  <w:style w:type="table" w:styleId="ColorfulList">
    <w:name w:val="Colorful List"/>
    <w:basedOn w:val="TableNormal"/>
    <w:uiPriority w:val="72"/>
    <w:rsid w:val="00B91ED7"/>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3638774">
      <w:bodyDiv w:val="1"/>
      <w:marLeft w:val="0"/>
      <w:marRight w:val="0"/>
      <w:marTop w:val="0"/>
      <w:marBottom w:val="0"/>
      <w:divBdr>
        <w:top w:val="none" w:sz="0" w:space="0" w:color="auto"/>
        <w:left w:val="none" w:sz="0" w:space="0" w:color="auto"/>
        <w:bottom w:val="none" w:sz="0" w:space="0" w:color="auto"/>
        <w:right w:val="none" w:sz="0" w:space="0" w:color="auto"/>
      </w:divBdr>
    </w:div>
    <w:div w:id="1578516589">
      <w:bodyDiv w:val="1"/>
      <w:marLeft w:val="0"/>
      <w:marRight w:val="0"/>
      <w:marTop w:val="0"/>
      <w:marBottom w:val="0"/>
      <w:divBdr>
        <w:top w:val="none" w:sz="0" w:space="0" w:color="auto"/>
        <w:left w:val="none" w:sz="0" w:space="0" w:color="auto"/>
        <w:bottom w:val="none" w:sz="0" w:space="0" w:color="auto"/>
        <w:right w:val="none" w:sz="0" w:space="0" w:color="auto"/>
      </w:divBdr>
      <w:divsChild>
        <w:div w:id="287201018">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isc.ac.uk/media/documents/publications/effectivepracticeeportfolios.pdf" TargetMode="External"/><Relationship Id="rId18" Type="http://schemas.openxmlformats.org/officeDocument/2006/relationships/hyperlink" Target="https://jscholarship.library.jhu.edu/bitstream/handle/1774.2/33329/ECAR-RB_Eportfolios.pdf" TargetMode="External"/><Relationship Id="rId26" Type="http://schemas.openxmlformats.org/officeDocument/2006/relationships/hyperlink" Target="http://www.pebblepad.co.uk/pp2010/cs08.pdf" TargetMode="External"/><Relationship Id="rId39" Type="http://schemas.openxmlformats.org/officeDocument/2006/relationships/hyperlink" Target="mailto:IvalaE@cput.ac.za" TargetMode="External"/><Relationship Id="rId3" Type="http://schemas.openxmlformats.org/officeDocument/2006/relationships/styles" Target="styles.xml"/><Relationship Id="rId21" Type="http://schemas.openxmlformats.org/officeDocument/2006/relationships/footer" Target="footer2.xml"/><Relationship Id="rId34" Type="http://schemas.openxmlformats.org/officeDocument/2006/relationships/image" Target="media/image4.png"/><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tcc.kcc.hawaii.edu/previous/TCC%202005/corbeil.pdf" TargetMode="External"/><Relationship Id="rId17" Type="http://schemas.openxmlformats.org/officeDocument/2006/relationships/hyperlink" Target="http://www.jisc.ac.uk/media/documents/publications/effectivepracticeeportfolios.pdf" TargetMode="External"/><Relationship Id="rId25" Type="http://schemas.openxmlformats.org/officeDocument/2006/relationships/hyperlink" Target="http://www.eportfolios.ac.uk/definition" TargetMode="External"/><Relationship Id="rId33" Type="http://schemas.openxmlformats.org/officeDocument/2006/relationships/hyperlink" Target="https://creativecommons.org/licenses/by/4.0/" TargetMode="External"/><Relationship Id="rId38" Type="http://schemas.openxmlformats.org/officeDocument/2006/relationships/hyperlink" Target="mailto:sonjas@sun.ac.za" TargetMode="External"/><Relationship Id="rId2" Type="http://schemas.openxmlformats.org/officeDocument/2006/relationships/numbering" Target="numbering.xml"/><Relationship Id="rId16" Type="http://schemas.openxmlformats.org/officeDocument/2006/relationships/hyperlink" Target="http://tcc.kcc.hawaii.edu/previous/TCC%202005/corbeil.pdf" TargetMode="External"/><Relationship Id="rId20" Type="http://schemas.openxmlformats.org/officeDocument/2006/relationships/footer" Target="footer1.xml"/><Relationship Id="rId29" Type="http://schemas.openxmlformats.org/officeDocument/2006/relationships/hyperlink" Target="http://etec.ctlt.ubc.ca/510wiki/Assessment_and_Electronic_Portfolios"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amford.edu/images/sept28eportfolios.pdf" TargetMode="External"/><Relationship Id="rId24" Type="http://schemas.openxmlformats.org/officeDocument/2006/relationships/hyperlink" Target="http://www.open.edu/openlearnworks/mod/resource/view.php?id=854" TargetMode="External"/><Relationship Id="rId32" Type="http://schemas.openxmlformats.org/officeDocument/2006/relationships/hyperlink" Target="http://www.morrisville.org/classrooms_curriculum/hive_portal/documents/ePortfolio_Weblog.pdf" TargetMode="External"/><Relationship Id="rId37" Type="http://schemas.openxmlformats.org/officeDocument/2006/relationships/hyperlink" Target="mailto:nicola.pallitt@uct.ac.za" TargetMode="External"/><Relationship Id="rId40" Type="http://schemas.openxmlformats.org/officeDocument/2006/relationships/hyperlink" Target="mailto:cilt@uct.ac.za" TargetMode="External"/><Relationship Id="rId5" Type="http://schemas.openxmlformats.org/officeDocument/2006/relationships/settings" Target="settings.xml"/><Relationship Id="rId15" Type="http://schemas.openxmlformats.org/officeDocument/2006/relationships/hyperlink" Target="http://www.samford.edu/images/sept28eportfolios.pdf" TargetMode="External"/><Relationship Id="rId23" Type="http://schemas.openxmlformats.org/officeDocument/2006/relationships/hyperlink" Target="http://electronicportfolios.org/balance/" TargetMode="External"/><Relationship Id="rId28" Type="http://schemas.openxmlformats.org/officeDocument/2006/relationships/hyperlink" Target="http://www.jisc.ac.uk/whatwedo/programmes/elearning/eportfolios.aspx" TargetMode="External"/><Relationship Id="rId36" Type="http://schemas.openxmlformats.org/officeDocument/2006/relationships/hyperlink" Target="file:///C:\Users\user\Downloads\creativecommons.org\licenses\by\4.0" TargetMode="External"/><Relationship Id="rId10" Type="http://schemas.openxmlformats.org/officeDocument/2006/relationships/image" Target="media/image2.jpg"/><Relationship Id="rId19" Type="http://schemas.openxmlformats.org/officeDocument/2006/relationships/header" Target="header1.xml"/><Relationship Id="rId31" Type="http://schemas.openxmlformats.org/officeDocument/2006/relationships/hyperlink" Target="http://www.uwex.edu/disted/conference/" TargetMode="Externa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hyperlink" Target="https://jscholarship.library.jhu.edu/bitstream/handle/1774.2/33329/ECAR-RB_Eportfolios.pdf" TargetMode="External"/><Relationship Id="rId22" Type="http://schemas.openxmlformats.org/officeDocument/2006/relationships/header" Target="header2.xml"/><Relationship Id="rId27" Type="http://schemas.openxmlformats.org/officeDocument/2006/relationships/hyperlink" Target="http://www.interscience.wiley.com/" TargetMode="External"/><Relationship Id="rId30" Type="http://schemas.openxmlformats.org/officeDocument/2006/relationships/hyperlink" Target="http://www.interscience.wiley.com/" TargetMode="External"/><Relationship Id="rId35" Type="http://schemas.openxmlformats.org/officeDocument/2006/relationships/image" Target="cid:image001.png@01D07144.C86C7410"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bit.ly/Esoltechnology"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E366BE-1AD5-4825-8676-BF67DDE899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2832</Words>
  <Characters>16147</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UCT</Company>
  <LinksUpToDate>false</LinksUpToDate>
  <CharactersWithSpaces>18942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Rondine Carstens</dc:creator>
  <cp:lastModifiedBy>Windows User</cp:lastModifiedBy>
  <cp:revision>2</cp:revision>
  <dcterms:created xsi:type="dcterms:W3CDTF">2015-10-13T12:19:00Z</dcterms:created>
  <dcterms:modified xsi:type="dcterms:W3CDTF">2015-10-13T12:19:00Z</dcterms:modified>
</cp:coreProperties>
</file>