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3483" w:rsidRPr="008244DC" w:rsidRDefault="00DA2C8B" w:rsidP="00C425B1">
      <w:pPr>
        <w:jc w:val="center"/>
        <w:rPr>
          <w:b/>
          <w:sz w:val="24"/>
          <w:szCs w:val="24"/>
          <w:u w:val="single"/>
        </w:rPr>
      </w:pPr>
      <w:r>
        <w:rPr>
          <w:b/>
          <w:noProof/>
          <w:sz w:val="24"/>
          <w:szCs w:val="24"/>
          <w:u w:val="single"/>
          <w:lang w:eastAsia="en-ZA"/>
        </w:rPr>
        <w:drawing>
          <wp:anchor distT="0" distB="0" distL="114300" distR="114300" simplePos="0" relativeHeight="251664384" behindDoc="1" locked="0" layoutInCell="1" allowOverlap="1" wp14:anchorId="0A206CD1" wp14:editId="18FB4274">
            <wp:simplePos x="0" y="0"/>
            <wp:positionH relativeFrom="column">
              <wp:posOffset>4529455</wp:posOffset>
            </wp:positionH>
            <wp:positionV relativeFrom="paragraph">
              <wp:posOffset>-546735</wp:posOffset>
            </wp:positionV>
            <wp:extent cx="1768475" cy="1041400"/>
            <wp:effectExtent l="0" t="0" r="3175" b="6350"/>
            <wp:wrapTight wrapText="bothSides">
              <wp:wrapPolygon edited="0">
                <wp:start x="0" y="0"/>
                <wp:lineTo x="0" y="21337"/>
                <wp:lineTo x="21406" y="21337"/>
                <wp:lineTo x="21406" y="0"/>
                <wp:lineTo x="0" y="0"/>
              </wp:wrapPolygon>
            </wp:wrapTight>
            <wp:docPr id="1" name="Picture 1" descr="Description: C:\Users\User\Desktop\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escription: C:\Users\User\Desktop\unname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8475" cy="1041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425B1" w:rsidRPr="008244DC">
        <w:rPr>
          <w:b/>
          <w:sz w:val="24"/>
          <w:szCs w:val="24"/>
          <w:u w:val="single"/>
        </w:rPr>
        <w:t xml:space="preserve">Essay logic and structure: </w:t>
      </w:r>
      <w:r w:rsidR="007F6C0B" w:rsidRPr="008244DC">
        <w:rPr>
          <w:b/>
          <w:sz w:val="24"/>
          <w:szCs w:val="24"/>
          <w:u w:val="single"/>
        </w:rPr>
        <w:t>structure and logic (3)</w:t>
      </w:r>
    </w:p>
    <w:p w:rsidR="00293A92" w:rsidRPr="008244DC" w:rsidRDefault="00293A92" w:rsidP="0043294D">
      <w:pPr>
        <w:jc w:val="both"/>
        <w:rPr>
          <w:rFonts w:ascii="Calibri" w:hAnsi="Calibri" w:cs="Calibri"/>
          <w:i/>
          <w:color w:val="4F81BD" w:themeColor="accent1"/>
          <w:sz w:val="24"/>
          <w:szCs w:val="24"/>
          <w:lang w:val="en-US"/>
        </w:rPr>
      </w:pPr>
      <w:r w:rsidRPr="008244DC">
        <w:rPr>
          <w:rFonts w:ascii="Calibri" w:hAnsi="Calibri" w:cs="Calibri"/>
          <w:i/>
          <w:color w:val="4F81BD" w:themeColor="accent1"/>
          <w:sz w:val="24"/>
          <w:szCs w:val="24"/>
          <w:lang w:val="en-US"/>
        </w:rPr>
        <w:t>This worksheet is set at a difficult level and aims to test essay logic and structure.</w:t>
      </w:r>
      <w:r w:rsidR="00C67B7C" w:rsidRPr="008244DC">
        <w:rPr>
          <w:rFonts w:ascii="Calibri" w:hAnsi="Calibri" w:cs="Calibri"/>
          <w:i/>
          <w:color w:val="4F81BD" w:themeColor="accent1"/>
          <w:sz w:val="24"/>
          <w:szCs w:val="24"/>
          <w:lang w:val="en-US"/>
        </w:rPr>
        <w:t xml:space="preserve"> After the completion of this worksheet students should have a far better understanding of the logic of ideas and arguments as well as the structure of displaying these ideas and argument.</w:t>
      </w:r>
    </w:p>
    <w:p w:rsidR="00AA6205" w:rsidRPr="008244DC" w:rsidRDefault="00AA6205" w:rsidP="00255702">
      <w:pPr>
        <w:spacing w:after="0" w:line="240" w:lineRule="auto"/>
        <w:rPr>
          <w:b/>
          <w:color w:val="C0504D" w:themeColor="accent2"/>
          <w:sz w:val="24"/>
          <w:szCs w:val="24"/>
        </w:rPr>
      </w:pPr>
      <w:r w:rsidRPr="008244DC">
        <w:rPr>
          <w:b/>
          <w:color w:val="C0504D" w:themeColor="accent2"/>
          <w:sz w:val="24"/>
          <w:szCs w:val="24"/>
        </w:rPr>
        <w:t>Academic argument structure</w:t>
      </w:r>
    </w:p>
    <w:p w:rsidR="00AA6205" w:rsidRPr="008244DC" w:rsidRDefault="00AA6205" w:rsidP="00255702">
      <w:pPr>
        <w:spacing w:after="0" w:line="240" w:lineRule="auto"/>
        <w:rPr>
          <w:color w:val="C0504D" w:themeColor="accent2"/>
          <w:sz w:val="24"/>
          <w:szCs w:val="24"/>
        </w:rPr>
      </w:pPr>
      <w:r w:rsidRPr="008244DC">
        <w:rPr>
          <w:color w:val="C0504D" w:themeColor="accent2"/>
          <w:sz w:val="24"/>
          <w:szCs w:val="24"/>
        </w:rPr>
        <w:t>In general, constructing an argument is done in an academically structured way. Be it Political Science, History or Anthropology, argumentation and structure have the same basic logical sequence.</w:t>
      </w:r>
      <w:bookmarkStart w:id="0" w:name="_GoBack"/>
      <w:bookmarkEnd w:id="0"/>
    </w:p>
    <w:p w:rsidR="00AA6205" w:rsidRPr="008244DC" w:rsidRDefault="00AA6205" w:rsidP="00255702">
      <w:pPr>
        <w:spacing w:after="0" w:line="240" w:lineRule="auto"/>
        <w:rPr>
          <w:color w:val="C0504D" w:themeColor="accent2"/>
          <w:sz w:val="24"/>
          <w:szCs w:val="24"/>
        </w:rPr>
      </w:pPr>
      <w:r w:rsidRPr="008244DC">
        <w:rPr>
          <w:color w:val="C0504D" w:themeColor="accent2"/>
          <w:sz w:val="24"/>
          <w:szCs w:val="24"/>
        </w:rPr>
        <w:t>As you know, essays are structure as follows (See the UCT Writing Centre for more information):</w:t>
      </w:r>
    </w:p>
    <w:p w:rsidR="00AA6205" w:rsidRPr="008244DC" w:rsidRDefault="00AA6205" w:rsidP="00255702">
      <w:pPr>
        <w:pStyle w:val="ListParagraph"/>
        <w:numPr>
          <w:ilvl w:val="0"/>
          <w:numId w:val="7"/>
        </w:numPr>
        <w:spacing w:after="0" w:line="240" w:lineRule="auto"/>
        <w:rPr>
          <w:color w:val="C0504D" w:themeColor="accent2"/>
          <w:sz w:val="24"/>
          <w:szCs w:val="24"/>
        </w:rPr>
      </w:pPr>
      <w:r w:rsidRPr="008244DC">
        <w:rPr>
          <w:color w:val="C0504D" w:themeColor="accent2"/>
          <w:sz w:val="24"/>
          <w:szCs w:val="24"/>
        </w:rPr>
        <w:t>Introduction</w:t>
      </w:r>
    </w:p>
    <w:p w:rsidR="00AA6205" w:rsidRPr="008244DC" w:rsidRDefault="00AA6205" w:rsidP="00255702">
      <w:pPr>
        <w:pStyle w:val="ListParagraph"/>
        <w:numPr>
          <w:ilvl w:val="0"/>
          <w:numId w:val="7"/>
        </w:numPr>
        <w:spacing w:after="0" w:line="240" w:lineRule="auto"/>
        <w:rPr>
          <w:color w:val="C0504D" w:themeColor="accent2"/>
          <w:sz w:val="24"/>
          <w:szCs w:val="24"/>
        </w:rPr>
      </w:pPr>
      <w:r w:rsidRPr="008244DC">
        <w:rPr>
          <w:color w:val="C0504D" w:themeColor="accent2"/>
          <w:sz w:val="24"/>
          <w:szCs w:val="24"/>
        </w:rPr>
        <w:t>Body</w:t>
      </w:r>
    </w:p>
    <w:p w:rsidR="00AA6205" w:rsidRPr="008244DC" w:rsidRDefault="00AA6205" w:rsidP="00255702">
      <w:pPr>
        <w:pStyle w:val="ListParagraph"/>
        <w:numPr>
          <w:ilvl w:val="0"/>
          <w:numId w:val="7"/>
        </w:numPr>
        <w:spacing w:after="0" w:line="240" w:lineRule="auto"/>
        <w:rPr>
          <w:color w:val="C0504D" w:themeColor="accent2"/>
          <w:sz w:val="24"/>
          <w:szCs w:val="24"/>
        </w:rPr>
      </w:pPr>
      <w:r w:rsidRPr="008244DC">
        <w:rPr>
          <w:color w:val="C0504D" w:themeColor="accent2"/>
          <w:sz w:val="24"/>
          <w:szCs w:val="24"/>
        </w:rPr>
        <w:t>Conclusion</w:t>
      </w:r>
    </w:p>
    <w:p w:rsidR="00AA6205" w:rsidRPr="008244DC" w:rsidRDefault="00AA6205" w:rsidP="00255702">
      <w:pPr>
        <w:spacing w:after="0" w:line="240" w:lineRule="auto"/>
        <w:rPr>
          <w:color w:val="C0504D" w:themeColor="accent2"/>
          <w:sz w:val="24"/>
          <w:szCs w:val="24"/>
        </w:rPr>
      </w:pPr>
      <w:r w:rsidRPr="008244DC">
        <w:rPr>
          <w:color w:val="C0504D" w:themeColor="accent2"/>
          <w:sz w:val="24"/>
          <w:szCs w:val="24"/>
        </w:rPr>
        <w:t>In addition, a paragraph is usually structured as follows:</w:t>
      </w:r>
    </w:p>
    <w:p w:rsidR="00AA6205" w:rsidRPr="008244DC" w:rsidRDefault="00AA6205" w:rsidP="00255702">
      <w:pPr>
        <w:pStyle w:val="ListParagraph"/>
        <w:numPr>
          <w:ilvl w:val="0"/>
          <w:numId w:val="6"/>
        </w:numPr>
        <w:spacing w:after="0" w:line="240" w:lineRule="auto"/>
        <w:rPr>
          <w:color w:val="C0504D" w:themeColor="accent2"/>
          <w:sz w:val="24"/>
          <w:szCs w:val="24"/>
        </w:rPr>
      </w:pPr>
      <w:r w:rsidRPr="008244DC">
        <w:rPr>
          <w:color w:val="C0504D" w:themeColor="accent2"/>
          <w:sz w:val="24"/>
          <w:szCs w:val="24"/>
          <w:u w:val="single"/>
        </w:rPr>
        <w:t>Thesis statement/argument/claim for the paragraph</w:t>
      </w:r>
      <w:r w:rsidRPr="008244DC">
        <w:rPr>
          <w:color w:val="C0504D" w:themeColor="accent2"/>
          <w:sz w:val="24"/>
          <w:szCs w:val="24"/>
        </w:rPr>
        <w:t xml:space="preserve"> (remember, each paragraph in an essay should discuss on</w:t>
      </w:r>
      <w:r w:rsidR="00F1084D" w:rsidRPr="008244DC">
        <w:rPr>
          <w:color w:val="C0504D" w:themeColor="accent2"/>
          <w:sz w:val="24"/>
          <w:szCs w:val="24"/>
        </w:rPr>
        <w:t>ly</w:t>
      </w:r>
      <w:r w:rsidRPr="008244DC">
        <w:rPr>
          <w:color w:val="C0504D" w:themeColor="accent2"/>
          <w:sz w:val="24"/>
          <w:szCs w:val="24"/>
        </w:rPr>
        <w:t xml:space="preserve"> one idea/claim).</w:t>
      </w:r>
    </w:p>
    <w:p w:rsidR="00AA6205" w:rsidRPr="008244DC" w:rsidRDefault="00AA6205" w:rsidP="00255702">
      <w:pPr>
        <w:pStyle w:val="ListParagraph"/>
        <w:numPr>
          <w:ilvl w:val="0"/>
          <w:numId w:val="6"/>
        </w:numPr>
        <w:spacing w:after="0" w:line="240" w:lineRule="auto"/>
        <w:rPr>
          <w:color w:val="C0504D" w:themeColor="accent2"/>
          <w:sz w:val="24"/>
          <w:szCs w:val="24"/>
        </w:rPr>
      </w:pPr>
      <w:r w:rsidRPr="008244DC">
        <w:rPr>
          <w:color w:val="C0504D" w:themeColor="accent2"/>
          <w:sz w:val="24"/>
          <w:szCs w:val="24"/>
          <w:u w:val="single"/>
        </w:rPr>
        <w:t>Substantiate your argument</w:t>
      </w:r>
      <w:r w:rsidRPr="008244DC">
        <w:rPr>
          <w:color w:val="C0504D" w:themeColor="accent2"/>
          <w:sz w:val="24"/>
          <w:szCs w:val="24"/>
        </w:rPr>
        <w:t xml:space="preserve">: give evidence, scholarly arguments and numerical data to illustrate </w:t>
      </w:r>
      <w:r w:rsidR="0040754C" w:rsidRPr="008244DC">
        <w:rPr>
          <w:color w:val="C0504D" w:themeColor="accent2"/>
          <w:sz w:val="24"/>
          <w:szCs w:val="24"/>
        </w:rPr>
        <w:t xml:space="preserve">and substantiate </w:t>
      </w:r>
      <w:r w:rsidRPr="008244DC">
        <w:rPr>
          <w:color w:val="C0504D" w:themeColor="accent2"/>
          <w:sz w:val="24"/>
          <w:szCs w:val="24"/>
        </w:rPr>
        <w:t>your argument/claim.</w:t>
      </w:r>
    </w:p>
    <w:p w:rsidR="00AA6205" w:rsidRPr="008244DC" w:rsidRDefault="00AA6205" w:rsidP="00255702">
      <w:pPr>
        <w:pStyle w:val="ListParagraph"/>
        <w:numPr>
          <w:ilvl w:val="0"/>
          <w:numId w:val="6"/>
        </w:numPr>
        <w:spacing w:after="0" w:line="240" w:lineRule="auto"/>
        <w:rPr>
          <w:color w:val="C0504D" w:themeColor="accent2"/>
          <w:sz w:val="24"/>
          <w:szCs w:val="24"/>
        </w:rPr>
      </w:pPr>
      <w:r w:rsidRPr="008244DC">
        <w:rPr>
          <w:color w:val="C0504D" w:themeColor="accent2"/>
          <w:sz w:val="24"/>
          <w:szCs w:val="24"/>
          <w:u w:val="single"/>
        </w:rPr>
        <w:t>Conclusion:</w:t>
      </w:r>
      <w:r w:rsidRPr="008244DC">
        <w:rPr>
          <w:color w:val="C0504D" w:themeColor="accent2"/>
          <w:sz w:val="24"/>
          <w:szCs w:val="24"/>
        </w:rPr>
        <w:t xml:space="preserve"> conclude what the thesis statement means and its relevance.   </w:t>
      </w:r>
    </w:p>
    <w:p w:rsidR="00C425B1" w:rsidRPr="008244DC" w:rsidRDefault="0055607A" w:rsidP="009D697D">
      <w:pPr>
        <w:jc w:val="center"/>
        <w:rPr>
          <w:b/>
          <w:sz w:val="24"/>
          <w:szCs w:val="24"/>
          <w:u w:val="single"/>
        </w:rPr>
      </w:pPr>
      <w:r w:rsidRPr="008244DC">
        <w:rPr>
          <w:b/>
          <w:sz w:val="24"/>
          <w:szCs w:val="24"/>
          <w:u w:val="single"/>
        </w:rPr>
        <w:t>Activity 1</w:t>
      </w:r>
    </w:p>
    <w:p w:rsidR="0055607A" w:rsidRPr="008244DC" w:rsidRDefault="0055607A" w:rsidP="008244DC">
      <w:pPr>
        <w:spacing w:after="0" w:line="240" w:lineRule="auto"/>
        <w:ind w:right="-45"/>
        <w:jc w:val="center"/>
        <w:rPr>
          <w:bCs/>
          <w:i/>
          <w:sz w:val="24"/>
          <w:szCs w:val="24"/>
        </w:rPr>
      </w:pPr>
      <w:r w:rsidRPr="008244DC">
        <w:rPr>
          <w:bCs/>
          <w:i/>
          <w:color w:val="4F81BD" w:themeColor="accent1"/>
          <w:sz w:val="24"/>
          <w:szCs w:val="24"/>
        </w:rPr>
        <w:t>Look at the sentence/s below and match them with their corresponding function</w:t>
      </w:r>
      <w:r w:rsidR="00E642CB" w:rsidRPr="008244DC">
        <w:rPr>
          <w:bCs/>
          <w:i/>
          <w:sz w:val="24"/>
          <w:szCs w:val="24"/>
        </w:rPr>
        <w:t>.</w:t>
      </w:r>
    </w:p>
    <w:p w:rsidR="003A764C" w:rsidRPr="008244DC" w:rsidRDefault="00E642CB" w:rsidP="0055607A">
      <w:pPr>
        <w:ind w:right="-46"/>
        <w:jc w:val="both"/>
        <w:rPr>
          <w:bCs/>
          <w:color w:val="FF0000"/>
          <w:sz w:val="24"/>
          <w:szCs w:val="24"/>
        </w:rPr>
      </w:pPr>
      <w:r w:rsidRPr="008244DC">
        <w:rPr>
          <w:bCs/>
          <w:color w:val="FF0000"/>
          <w:sz w:val="24"/>
          <w:szCs w:val="24"/>
        </w:rPr>
        <w:t>Example:</w:t>
      </w:r>
      <w:r w:rsidR="007B2A80" w:rsidRPr="008244DC">
        <w:rPr>
          <w:bCs/>
          <w:color w:val="FF0000"/>
          <w:sz w:val="24"/>
          <w:szCs w:val="24"/>
        </w:rPr>
        <w:t xml:space="preserve"> </w:t>
      </w:r>
    </w:p>
    <w:tbl>
      <w:tblPr>
        <w:tblStyle w:val="TableGrid"/>
        <w:tblW w:w="0" w:type="auto"/>
        <w:tblLook w:val="04A0" w:firstRow="1" w:lastRow="0" w:firstColumn="1" w:lastColumn="0" w:noHBand="0" w:noVBand="1"/>
      </w:tblPr>
      <w:tblGrid>
        <w:gridCol w:w="4621"/>
        <w:gridCol w:w="4621"/>
      </w:tblGrid>
      <w:tr w:rsidR="00F479FA" w:rsidRPr="008244DC" w:rsidTr="003A764C">
        <w:tc>
          <w:tcPr>
            <w:tcW w:w="4621" w:type="dxa"/>
          </w:tcPr>
          <w:p w:rsidR="003A764C" w:rsidRPr="008244DC" w:rsidRDefault="00E631BB" w:rsidP="00536BE7">
            <w:pPr>
              <w:pStyle w:val="ListParagraph"/>
              <w:numPr>
                <w:ilvl w:val="0"/>
                <w:numId w:val="8"/>
              </w:numPr>
              <w:spacing w:after="100" w:afterAutospacing="1"/>
              <w:ind w:right="-46"/>
              <w:rPr>
                <w:b/>
                <w:bCs/>
                <w:color w:val="FF0000"/>
                <w:sz w:val="24"/>
                <w:szCs w:val="24"/>
              </w:rPr>
            </w:pPr>
            <w:r w:rsidRPr="008244DC">
              <w:rPr>
                <w:b/>
                <w:bCs/>
                <w:noProof/>
                <w:color w:val="FF0000"/>
                <w:sz w:val="24"/>
                <w:szCs w:val="24"/>
                <w:lang w:eastAsia="en-ZA"/>
              </w:rPr>
              <mc:AlternateContent>
                <mc:Choice Requires="wps">
                  <w:drawing>
                    <wp:anchor distT="0" distB="0" distL="114300" distR="114300" simplePos="0" relativeHeight="251659264" behindDoc="0" locked="0" layoutInCell="1" allowOverlap="1" wp14:anchorId="441F3386" wp14:editId="7C0877FD">
                      <wp:simplePos x="0" y="0"/>
                      <wp:positionH relativeFrom="column">
                        <wp:posOffset>2000250</wp:posOffset>
                      </wp:positionH>
                      <wp:positionV relativeFrom="paragraph">
                        <wp:posOffset>194310</wp:posOffset>
                      </wp:positionV>
                      <wp:extent cx="1219200" cy="285750"/>
                      <wp:effectExtent l="0" t="0" r="76200" b="95250"/>
                      <wp:wrapNone/>
                      <wp:docPr id="5" name="Straight Arrow Connector 5"/>
                      <wp:cNvGraphicFramePr/>
                      <a:graphic xmlns:a="http://schemas.openxmlformats.org/drawingml/2006/main">
                        <a:graphicData uri="http://schemas.microsoft.com/office/word/2010/wordprocessingShape">
                          <wps:wsp>
                            <wps:cNvCnPr/>
                            <wps:spPr>
                              <a:xfrm>
                                <a:off x="0" y="0"/>
                                <a:ext cx="1219200" cy="285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5" o:spid="_x0000_s1026" type="#_x0000_t32" style="position:absolute;margin-left:157.5pt;margin-top:15.3pt;width:96pt;height:2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" strokecolor="#4579b8 [3044]">
                      <v:stroke endarrow="open"/>
                    </v:shape>
                  </w:pict>
                </mc:Fallback>
              </mc:AlternateContent>
            </w:r>
            <w:r w:rsidR="003A764C" w:rsidRPr="008244DC">
              <w:rPr>
                <w:b/>
                <w:bCs/>
                <w:color w:val="FF0000"/>
                <w:sz w:val="24"/>
                <w:szCs w:val="24"/>
              </w:rPr>
              <w:t>Thesis statement/argument</w:t>
            </w:r>
          </w:p>
        </w:tc>
        <w:tc>
          <w:tcPr>
            <w:tcW w:w="4621" w:type="dxa"/>
          </w:tcPr>
          <w:p w:rsidR="003A764C" w:rsidRPr="008244DC" w:rsidRDefault="003B0B6B" w:rsidP="007428EF">
            <w:pPr>
              <w:pStyle w:val="ListParagraph"/>
              <w:numPr>
                <w:ilvl w:val="0"/>
                <w:numId w:val="9"/>
              </w:numPr>
              <w:spacing w:after="100" w:afterAutospacing="1"/>
              <w:ind w:right="-46"/>
              <w:jc w:val="both"/>
              <w:rPr>
                <w:b/>
                <w:bCs/>
                <w:color w:val="8064A2" w:themeColor="accent4"/>
                <w:sz w:val="24"/>
                <w:szCs w:val="24"/>
              </w:rPr>
            </w:pPr>
            <w:r w:rsidRPr="008244DC">
              <w:rPr>
                <w:rFonts w:eastAsia="Calibri"/>
                <w:b/>
                <w:color w:val="8064A2" w:themeColor="accent4"/>
                <w:sz w:val="24"/>
                <w:szCs w:val="24"/>
                <w:lang w:val="en-ZA"/>
              </w:rPr>
              <w:t>Xenophobia itself is not a new phenomenon to South Africa, rather and as argued by Carter, xenophobia and violence against foreigners has become common place in post-Apartheid South Africa.</w:t>
            </w:r>
            <w:r w:rsidR="00944AF0" w:rsidRPr="008244DC">
              <w:rPr>
                <w:rFonts w:eastAsia="Calibri"/>
                <w:b/>
                <w:color w:val="8064A2" w:themeColor="accent4"/>
                <w:sz w:val="24"/>
                <w:szCs w:val="24"/>
                <w:lang w:val="en-ZA"/>
              </w:rPr>
              <w:t xml:space="preserve"> </w:t>
            </w:r>
          </w:p>
        </w:tc>
      </w:tr>
      <w:tr w:rsidR="00F479FA" w:rsidRPr="008244DC" w:rsidTr="003A764C">
        <w:tc>
          <w:tcPr>
            <w:tcW w:w="4621" w:type="dxa"/>
          </w:tcPr>
          <w:p w:rsidR="003A764C" w:rsidRPr="008244DC" w:rsidRDefault="00E631BB" w:rsidP="00536BE7">
            <w:pPr>
              <w:pStyle w:val="ListParagraph"/>
              <w:numPr>
                <w:ilvl w:val="0"/>
                <w:numId w:val="8"/>
              </w:numPr>
              <w:spacing w:after="100" w:afterAutospacing="1"/>
              <w:ind w:right="-46"/>
              <w:rPr>
                <w:b/>
                <w:bCs/>
                <w:color w:val="FF0000"/>
                <w:sz w:val="24"/>
                <w:szCs w:val="24"/>
              </w:rPr>
            </w:pPr>
            <w:r w:rsidRPr="008244DC">
              <w:rPr>
                <w:b/>
                <w:bCs/>
                <w:noProof/>
                <w:color w:val="FF0000"/>
                <w:sz w:val="24"/>
                <w:szCs w:val="24"/>
                <w:lang w:eastAsia="en-ZA"/>
              </w:rPr>
              <mc:AlternateContent>
                <mc:Choice Requires="wps">
                  <w:drawing>
                    <wp:anchor distT="0" distB="0" distL="114300" distR="114300" simplePos="0" relativeHeight="251660288" behindDoc="0" locked="0" layoutInCell="1" allowOverlap="1" wp14:anchorId="6BF01CB8" wp14:editId="758AA9C3">
                      <wp:simplePos x="0" y="0"/>
                      <wp:positionH relativeFrom="column">
                        <wp:posOffset>2095500</wp:posOffset>
                      </wp:positionH>
                      <wp:positionV relativeFrom="paragraph">
                        <wp:posOffset>111125</wp:posOffset>
                      </wp:positionV>
                      <wp:extent cx="1009650" cy="9525"/>
                      <wp:effectExtent l="0" t="76200" r="19050" b="104775"/>
                      <wp:wrapNone/>
                      <wp:docPr id="6" name="Straight Arrow Connector 6"/>
                      <wp:cNvGraphicFramePr/>
                      <a:graphic xmlns:a="http://schemas.openxmlformats.org/drawingml/2006/main">
                        <a:graphicData uri="http://schemas.microsoft.com/office/word/2010/wordprocessingShape">
                          <wps:wsp>
                            <wps:cNvCnPr/>
                            <wps:spPr>
                              <a:xfrm flipV="1">
                                <a:off x="0" y="0"/>
                                <a:ext cx="1009650"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6" o:spid="_x0000_s1026" type="#_x0000_t32" style="position:absolute;margin-left:165pt;margin-top:8.75pt;width:79.5pt;height:.75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" strokecolor="#4579b8 [3044]">
                      <v:stroke endarrow="open"/>
                    </v:shape>
                  </w:pict>
                </mc:Fallback>
              </mc:AlternateContent>
            </w:r>
            <w:r w:rsidR="003A764C" w:rsidRPr="008244DC">
              <w:rPr>
                <w:b/>
                <w:bCs/>
                <w:color w:val="FF0000"/>
                <w:sz w:val="24"/>
                <w:szCs w:val="24"/>
              </w:rPr>
              <w:t>Substantiating evidence (1)</w:t>
            </w:r>
          </w:p>
        </w:tc>
        <w:tc>
          <w:tcPr>
            <w:tcW w:w="4621" w:type="dxa"/>
          </w:tcPr>
          <w:p w:rsidR="003A764C" w:rsidRPr="008244DC" w:rsidRDefault="00B42A04" w:rsidP="00B42A04">
            <w:pPr>
              <w:pStyle w:val="ListParagraph"/>
              <w:numPr>
                <w:ilvl w:val="0"/>
                <w:numId w:val="9"/>
              </w:numPr>
              <w:spacing w:after="100" w:afterAutospacing="1"/>
              <w:ind w:right="-46"/>
              <w:jc w:val="both"/>
              <w:rPr>
                <w:b/>
                <w:bCs/>
                <w:color w:val="8064A2" w:themeColor="accent4"/>
                <w:sz w:val="24"/>
                <w:szCs w:val="24"/>
              </w:rPr>
            </w:pPr>
            <w:r w:rsidRPr="008244DC">
              <w:rPr>
                <w:rFonts w:eastAsia="Calibri"/>
                <w:b/>
                <w:color w:val="8064A2" w:themeColor="accent4"/>
                <w:sz w:val="24"/>
                <w:szCs w:val="24"/>
                <w:lang w:val="en-ZA"/>
              </w:rPr>
              <w:t xml:space="preserve">Probably the most devastating instance of xenophobia was in 2008 when </w:t>
            </w:r>
            <w:r w:rsidR="003B0B6B" w:rsidRPr="008244DC">
              <w:rPr>
                <w:rFonts w:eastAsia="Calibri"/>
                <w:b/>
                <w:color w:val="8064A2" w:themeColor="accent4"/>
                <w:sz w:val="24"/>
                <w:szCs w:val="24"/>
                <w:lang w:val="en-ZA"/>
              </w:rPr>
              <w:t xml:space="preserve">South Africa </w:t>
            </w:r>
            <w:r w:rsidRPr="008244DC">
              <w:rPr>
                <w:rFonts w:eastAsia="Calibri"/>
                <w:b/>
                <w:color w:val="8064A2" w:themeColor="accent4"/>
                <w:sz w:val="24"/>
                <w:szCs w:val="24"/>
                <w:lang w:val="en-ZA"/>
              </w:rPr>
              <w:t>witnessed</w:t>
            </w:r>
            <w:r w:rsidR="003B0B6B" w:rsidRPr="008244DC">
              <w:rPr>
                <w:rFonts w:eastAsia="Calibri"/>
                <w:b/>
                <w:color w:val="8064A2" w:themeColor="accent4"/>
                <w:sz w:val="24"/>
                <w:szCs w:val="24"/>
                <w:lang w:val="en-ZA"/>
              </w:rPr>
              <w:t xml:space="preserve"> mass xenophobic violence against foreign nationals.</w:t>
            </w:r>
            <w:r w:rsidR="00944AF0" w:rsidRPr="008244DC">
              <w:rPr>
                <w:rFonts w:eastAsia="Calibri"/>
                <w:b/>
                <w:color w:val="8064A2" w:themeColor="accent4"/>
                <w:sz w:val="24"/>
                <w:szCs w:val="24"/>
                <w:lang w:val="en-ZA"/>
              </w:rPr>
              <w:t xml:space="preserve"> </w:t>
            </w:r>
          </w:p>
        </w:tc>
      </w:tr>
      <w:tr w:rsidR="00F479FA" w:rsidRPr="008244DC" w:rsidTr="003A764C">
        <w:tc>
          <w:tcPr>
            <w:tcW w:w="4621" w:type="dxa"/>
          </w:tcPr>
          <w:p w:rsidR="003A764C" w:rsidRPr="008244DC" w:rsidRDefault="00E631BB" w:rsidP="00536BE7">
            <w:pPr>
              <w:pStyle w:val="ListParagraph"/>
              <w:numPr>
                <w:ilvl w:val="0"/>
                <w:numId w:val="8"/>
              </w:numPr>
              <w:spacing w:after="100" w:afterAutospacing="1"/>
              <w:ind w:right="-46"/>
              <w:rPr>
                <w:b/>
                <w:bCs/>
                <w:color w:val="FF0000"/>
                <w:sz w:val="24"/>
                <w:szCs w:val="24"/>
              </w:rPr>
            </w:pPr>
            <w:r w:rsidRPr="008244DC">
              <w:rPr>
                <w:b/>
                <w:bCs/>
                <w:noProof/>
                <w:color w:val="FF0000"/>
                <w:sz w:val="24"/>
                <w:szCs w:val="24"/>
                <w:lang w:eastAsia="en-ZA"/>
              </w:rPr>
              <mc:AlternateContent>
                <mc:Choice Requires="wps">
                  <w:drawing>
                    <wp:anchor distT="0" distB="0" distL="114300" distR="114300" simplePos="0" relativeHeight="251661312" behindDoc="0" locked="0" layoutInCell="1" allowOverlap="1" wp14:anchorId="639FA5D5" wp14:editId="7EA9D04A">
                      <wp:simplePos x="0" y="0"/>
                      <wp:positionH relativeFrom="column">
                        <wp:posOffset>2095500</wp:posOffset>
                      </wp:positionH>
                      <wp:positionV relativeFrom="paragraph">
                        <wp:posOffset>158750</wp:posOffset>
                      </wp:positionV>
                      <wp:extent cx="1285875" cy="1219200"/>
                      <wp:effectExtent l="0" t="0" r="66675" b="57150"/>
                      <wp:wrapNone/>
                      <wp:docPr id="7" name="Straight Arrow Connector 7"/>
                      <wp:cNvGraphicFramePr/>
                      <a:graphic xmlns:a="http://schemas.openxmlformats.org/drawingml/2006/main">
                        <a:graphicData uri="http://schemas.microsoft.com/office/word/2010/wordprocessingShape">
                          <wps:wsp>
                            <wps:cNvCnPr/>
                            <wps:spPr>
                              <a:xfrm>
                                <a:off x="0" y="0"/>
                                <a:ext cx="1285875" cy="1219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7" o:spid="_x0000_s1026" type="#_x0000_t32" style="position:absolute;margin-left:165pt;margin-top:12.5pt;width:101.25pt;height: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" strokecolor="#4579b8 [3044]">
                      <v:stroke endarrow="open"/>
                    </v:shape>
                  </w:pict>
                </mc:Fallback>
              </mc:AlternateContent>
            </w:r>
            <w:r w:rsidRPr="008244DC">
              <w:rPr>
                <w:b/>
                <w:bCs/>
                <w:noProof/>
                <w:color w:val="FF0000"/>
                <w:sz w:val="24"/>
                <w:szCs w:val="24"/>
                <w:lang w:eastAsia="en-ZA"/>
              </w:rPr>
              <mc:AlternateContent>
                <mc:Choice Requires="wps">
                  <w:drawing>
                    <wp:anchor distT="0" distB="0" distL="114300" distR="114300" simplePos="0" relativeHeight="251662336" behindDoc="0" locked="0" layoutInCell="1" allowOverlap="1" wp14:anchorId="53A8A702" wp14:editId="081BE8F2">
                      <wp:simplePos x="0" y="0"/>
                      <wp:positionH relativeFrom="column">
                        <wp:posOffset>1771649</wp:posOffset>
                      </wp:positionH>
                      <wp:positionV relativeFrom="paragraph">
                        <wp:posOffset>158750</wp:posOffset>
                      </wp:positionV>
                      <wp:extent cx="1609725" cy="790575"/>
                      <wp:effectExtent l="0" t="38100" r="66675" b="28575"/>
                      <wp:wrapNone/>
                      <wp:docPr id="8" name="Straight Arrow Connector 8"/>
                      <wp:cNvGraphicFramePr/>
                      <a:graphic xmlns:a="http://schemas.openxmlformats.org/drawingml/2006/main">
                        <a:graphicData uri="http://schemas.microsoft.com/office/word/2010/wordprocessingShape">
                          <wps:wsp>
                            <wps:cNvCnPr/>
                            <wps:spPr>
                              <a:xfrm flipV="1">
                                <a:off x="0" y="0"/>
                                <a:ext cx="1609725" cy="7905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8" o:spid="_x0000_s1026" type="#_x0000_t32" style="position:absolute;margin-left:139.5pt;margin-top:12.5pt;width:126.75pt;height:62.25pt;flip: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" strokecolor="#4579b8 [3044]">
                      <v:stroke endarrow="open"/>
                    </v:shape>
                  </w:pict>
                </mc:Fallback>
              </mc:AlternateContent>
            </w:r>
            <w:r w:rsidR="003A764C" w:rsidRPr="008244DC">
              <w:rPr>
                <w:b/>
                <w:bCs/>
                <w:color w:val="FF0000"/>
                <w:sz w:val="24"/>
                <w:szCs w:val="24"/>
              </w:rPr>
              <w:t>Substantiating evidence (2)</w:t>
            </w:r>
          </w:p>
        </w:tc>
        <w:tc>
          <w:tcPr>
            <w:tcW w:w="4621" w:type="dxa"/>
          </w:tcPr>
          <w:p w:rsidR="003A764C" w:rsidRPr="008244DC" w:rsidRDefault="003B0B6B" w:rsidP="00765D97">
            <w:pPr>
              <w:pStyle w:val="ListParagraph"/>
              <w:numPr>
                <w:ilvl w:val="0"/>
                <w:numId w:val="9"/>
              </w:numPr>
              <w:ind w:left="714" w:hanging="357"/>
              <w:jc w:val="both"/>
              <w:rPr>
                <w:rFonts w:eastAsia="Calibri"/>
                <w:b/>
                <w:color w:val="8064A2" w:themeColor="accent4"/>
                <w:sz w:val="24"/>
                <w:szCs w:val="24"/>
                <w:lang w:val="en-ZA"/>
              </w:rPr>
            </w:pPr>
            <w:r w:rsidRPr="008244DC">
              <w:rPr>
                <w:rFonts w:eastAsia="Calibri"/>
                <w:b/>
                <w:color w:val="8064A2" w:themeColor="accent4"/>
                <w:sz w:val="24"/>
                <w:szCs w:val="24"/>
                <w:lang w:val="en-ZA"/>
              </w:rPr>
              <w:t xml:space="preserve">While violence against foreign nationals has not reached similar levels in the six years since 2008, there is still large-scale resentment towards foreigners living and working in South Africa. </w:t>
            </w:r>
          </w:p>
        </w:tc>
      </w:tr>
      <w:tr w:rsidR="00F479FA" w:rsidRPr="008244DC" w:rsidTr="003A764C">
        <w:tc>
          <w:tcPr>
            <w:tcW w:w="4621" w:type="dxa"/>
          </w:tcPr>
          <w:p w:rsidR="003A764C" w:rsidRPr="008244DC" w:rsidRDefault="003A764C" w:rsidP="00536BE7">
            <w:pPr>
              <w:pStyle w:val="ListParagraph"/>
              <w:numPr>
                <w:ilvl w:val="0"/>
                <w:numId w:val="8"/>
              </w:numPr>
              <w:spacing w:after="100" w:afterAutospacing="1"/>
              <w:ind w:right="-46"/>
              <w:rPr>
                <w:b/>
                <w:bCs/>
                <w:color w:val="FF0000"/>
                <w:sz w:val="24"/>
                <w:szCs w:val="24"/>
              </w:rPr>
            </w:pPr>
            <w:r w:rsidRPr="008244DC">
              <w:rPr>
                <w:b/>
                <w:bCs/>
                <w:color w:val="FF0000"/>
                <w:sz w:val="24"/>
                <w:szCs w:val="24"/>
              </w:rPr>
              <w:t>Concluding remarks</w:t>
            </w:r>
          </w:p>
        </w:tc>
        <w:tc>
          <w:tcPr>
            <w:tcW w:w="4621" w:type="dxa"/>
          </w:tcPr>
          <w:p w:rsidR="003A764C" w:rsidRPr="008244DC" w:rsidRDefault="00BC2B40" w:rsidP="00B85404">
            <w:pPr>
              <w:pStyle w:val="ListParagraph"/>
              <w:numPr>
                <w:ilvl w:val="0"/>
                <w:numId w:val="9"/>
              </w:numPr>
              <w:ind w:left="714" w:right="-45" w:hanging="357"/>
              <w:jc w:val="both"/>
              <w:rPr>
                <w:b/>
                <w:bCs/>
                <w:color w:val="8064A2" w:themeColor="accent4"/>
                <w:sz w:val="24"/>
                <w:szCs w:val="24"/>
              </w:rPr>
            </w:pPr>
            <w:r w:rsidRPr="008244DC">
              <w:rPr>
                <w:rFonts w:eastAsia="Calibri"/>
                <w:b/>
                <w:color w:val="8064A2" w:themeColor="accent4"/>
                <w:sz w:val="24"/>
                <w:szCs w:val="24"/>
                <w:lang w:val="en-ZA"/>
              </w:rPr>
              <w:t>During this time,</w:t>
            </w:r>
            <w:r w:rsidR="00B85404" w:rsidRPr="008244DC">
              <w:rPr>
                <w:rFonts w:eastAsia="Calibri"/>
                <w:b/>
                <w:color w:val="8064A2" w:themeColor="accent4"/>
                <w:sz w:val="24"/>
                <w:szCs w:val="24"/>
                <w:lang w:val="en-ZA"/>
              </w:rPr>
              <w:t xml:space="preserve"> </w:t>
            </w:r>
            <w:r w:rsidR="003B0B6B" w:rsidRPr="008244DC">
              <w:rPr>
                <w:rFonts w:eastAsia="Calibri"/>
                <w:b/>
                <w:color w:val="8064A2" w:themeColor="accent4"/>
                <w:sz w:val="24"/>
                <w:szCs w:val="24"/>
                <w:lang w:val="en-ZA"/>
              </w:rPr>
              <w:t xml:space="preserve">mobs of angry </w:t>
            </w:r>
            <w:r w:rsidR="003B0B6B" w:rsidRPr="008244DC">
              <w:rPr>
                <w:rFonts w:eastAsia="Calibri"/>
                <w:b/>
                <w:color w:val="8064A2" w:themeColor="accent4"/>
                <w:sz w:val="24"/>
                <w:szCs w:val="24"/>
                <w:lang w:val="en-ZA"/>
              </w:rPr>
              <w:lastRenderedPageBreak/>
              <w:t>South Africans murdered 62 people, most of them foreign nationals. Moreover, thousands of homes were destroyed, property was looted and some 100 000 people fled their homes.</w:t>
            </w:r>
            <w:r w:rsidR="00944AF0" w:rsidRPr="008244DC">
              <w:rPr>
                <w:rFonts w:eastAsia="Calibri"/>
                <w:b/>
                <w:color w:val="FF0000"/>
                <w:sz w:val="24"/>
                <w:szCs w:val="24"/>
                <w:lang w:val="en-ZA"/>
              </w:rPr>
              <w:t xml:space="preserve"> </w:t>
            </w:r>
          </w:p>
        </w:tc>
      </w:tr>
    </w:tbl>
    <w:p w:rsidR="007B2A80" w:rsidRPr="008244DC" w:rsidRDefault="007B2A80" w:rsidP="00174287">
      <w:pPr>
        <w:spacing w:after="100" w:afterAutospacing="1" w:line="240" w:lineRule="auto"/>
        <w:ind w:right="-46"/>
        <w:rPr>
          <w:bCs/>
          <w:sz w:val="24"/>
          <w:szCs w:val="24"/>
        </w:rPr>
      </w:pPr>
    </w:p>
    <w:p w:rsidR="00CB49EC" w:rsidRPr="008244DC" w:rsidRDefault="00CB49EC" w:rsidP="008244DC">
      <w:pPr>
        <w:pStyle w:val="ListParagraph"/>
        <w:spacing w:after="0" w:line="240" w:lineRule="auto"/>
        <w:ind w:right="-45"/>
        <w:jc w:val="both"/>
        <w:rPr>
          <w:bCs/>
          <w:i/>
          <w:sz w:val="24"/>
          <w:szCs w:val="24"/>
        </w:rPr>
      </w:pPr>
      <w:r w:rsidRPr="008244DC">
        <w:rPr>
          <w:bCs/>
          <w:i/>
          <w:sz w:val="24"/>
          <w:szCs w:val="24"/>
        </w:rPr>
        <w:t xml:space="preserve"> </w:t>
      </w:r>
      <w:r w:rsidRPr="008244DC">
        <w:rPr>
          <w:bCs/>
          <w:i/>
          <w:color w:val="4F81BD" w:themeColor="accent1"/>
          <w:sz w:val="24"/>
          <w:szCs w:val="24"/>
        </w:rPr>
        <w:t>Look at the sentence/s below and match them with their corresponding function.</w:t>
      </w:r>
    </w:p>
    <w:p w:rsidR="00174287" w:rsidRPr="008244DC" w:rsidRDefault="00174287" w:rsidP="00174287">
      <w:pPr>
        <w:spacing w:after="100" w:afterAutospacing="1" w:line="240" w:lineRule="auto"/>
        <w:ind w:right="-46"/>
        <w:rPr>
          <w:bCs/>
          <w:sz w:val="24"/>
          <w:szCs w:val="24"/>
        </w:rPr>
      </w:pPr>
    </w:p>
    <w:tbl>
      <w:tblPr>
        <w:tblStyle w:val="TableGrid"/>
        <w:tblW w:w="0" w:type="auto"/>
        <w:tblInd w:w="720" w:type="dxa"/>
        <w:tblLook w:val="04A0" w:firstRow="1" w:lastRow="0" w:firstColumn="1" w:lastColumn="0" w:noHBand="0" w:noVBand="1"/>
      </w:tblPr>
      <w:tblGrid>
        <w:gridCol w:w="4304"/>
        <w:gridCol w:w="4218"/>
      </w:tblGrid>
      <w:tr w:rsidR="0055607A" w:rsidRPr="008244DC" w:rsidTr="003540C2">
        <w:tc>
          <w:tcPr>
            <w:tcW w:w="4621" w:type="dxa"/>
          </w:tcPr>
          <w:p w:rsidR="0055607A" w:rsidRPr="008244DC" w:rsidRDefault="0055607A" w:rsidP="003540C2">
            <w:pPr>
              <w:ind w:right="-46"/>
              <w:jc w:val="both"/>
              <w:rPr>
                <w:bCs/>
                <w:sz w:val="24"/>
                <w:szCs w:val="24"/>
              </w:rPr>
            </w:pPr>
            <w:r w:rsidRPr="008244DC">
              <w:rPr>
                <w:bCs/>
                <w:sz w:val="24"/>
                <w:szCs w:val="24"/>
              </w:rPr>
              <w:t>1. Thesis statement/argument</w:t>
            </w:r>
          </w:p>
        </w:tc>
        <w:tc>
          <w:tcPr>
            <w:tcW w:w="4621" w:type="dxa"/>
          </w:tcPr>
          <w:p w:rsidR="0055607A" w:rsidRPr="008244DC" w:rsidRDefault="0055607A" w:rsidP="003540C2">
            <w:pPr>
              <w:pStyle w:val="ListParagraph"/>
              <w:ind w:left="0" w:right="-46"/>
              <w:jc w:val="both"/>
              <w:rPr>
                <w:bCs/>
                <w:sz w:val="24"/>
                <w:szCs w:val="24"/>
              </w:rPr>
            </w:pPr>
            <w:r w:rsidRPr="008244DC">
              <w:rPr>
                <w:bCs/>
                <w:sz w:val="24"/>
                <w:szCs w:val="24"/>
              </w:rPr>
              <w:t>a. Australia’s Tourism Commissioner states that 87% of tourists (2000-2004) cited extraordinary natural phenomena as a significant motivating reason for their visit to Australia (RET, 2009).</w:t>
            </w:r>
          </w:p>
        </w:tc>
      </w:tr>
      <w:tr w:rsidR="0055607A" w:rsidRPr="008244DC" w:rsidTr="003540C2">
        <w:tc>
          <w:tcPr>
            <w:tcW w:w="4621" w:type="dxa"/>
          </w:tcPr>
          <w:p w:rsidR="0055607A" w:rsidRPr="008244DC" w:rsidRDefault="0055607A" w:rsidP="003540C2">
            <w:pPr>
              <w:pStyle w:val="ListParagraph"/>
              <w:ind w:left="0" w:right="-46"/>
              <w:jc w:val="both"/>
              <w:rPr>
                <w:bCs/>
                <w:sz w:val="24"/>
                <w:szCs w:val="24"/>
              </w:rPr>
            </w:pPr>
            <w:r w:rsidRPr="008244DC">
              <w:rPr>
                <w:bCs/>
                <w:sz w:val="24"/>
                <w:szCs w:val="24"/>
              </w:rPr>
              <w:t>2. Substantiating evidence (1)</w:t>
            </w:r>
          </w:p>
        </w:tc>
        <w:tc>
          <w:tcPr>
            <w:tcW w:w="4621" w:type="dxa"/>
          </w:tcPr>
          <w:p w:rsidR="0055607A" w:rsidRPr="008244DC" w:rsidRDefault="0055607A" w:rsidP="003540C2">
            <w:pPr>
              <w:ind w:right="-46"/>
              <w:jc w:val="both"/>
              <w:rPr>
                <w:b/>
                <w:bCs/>
                <w:color w:val="0070C0"/>
                <w:sz w:val="24"/>
                <w:szCs w:val="24"/>
              </w:rPr>
            </w:pPr>
            <w:r w:rsidRPr="008244DC">
              <w:rPr>
                <w:bCs/>
                <w:sz w:val="24"/>
                <w:szCs w:val="24"/>
              </w:rPr>
              <w:t>b. Unique geological features and ecology create landforms which are key components of Australia’s appeal to tourists</w:t>
            </w:r>
            <w:r w:rsidRPr="008244DC">
              <w:rPr>
                <w:b/>
                <w:bCs/>
                <w:color w:val="0070C0"/>
                <w:sz w:val="24"/>
                <w:szCs w:val="24"/>
              </w:rPr>
              <w:t>.</w:t>
            </w:r>
          </w:p>
        </w:tc>
      </w:tr>
      <w:tr w:rsidR="0055607A" w:rsidRPr="008244DC" w:rsidTr="003540C2">
        <w:tc>
          <w:tcPr>
            <w:tcW w:w="4621" w:type="dxa"/>
          </w:tcPr>
          <w:p w:rsidR="0055607A" w:rsidRPr="008244DC" w:rsidRDefault="0055607A" w:rsidP="003540C2">
            <w:pPr>
              <w:pStyle w:val="ListParagraph"/>
              <w:ind w:left="0" w:right="-46"/>
              <w:jc w:val="both"/>
              <w:rPr>
                <w:bCs/>
                <w:sz w:val="24"/>
                <w:szCs w:val="24"/>
              </w:rPr>
            </w:pPr>
            <w:r w:rsidRPr="008244DC">
              <w:rPr>
                <w:bCs/>
                <w:sz w:val="24"/>
                <w:szCs w:val="24"/>
              </w:rPr>
              <w:t>3. Substantiating evidence (2)</w:t>
            </w:r>
          </w:p>
        </w:tc>
        <w:tc>
          <w:tcPr>
            <w:tcW w:w="4621" w:type="dxa"/>
          </w:tcPr>
          <w:p w:rsidR="0055607A" w:rsidRPr="008244DC" w:rsidRDefault="0055607A" w:rsidP="003540C2">
            <w:pPr>
              <w:pStyle w:val="ListParagraph"/>
              <w:ind w:left="0" w:right="-46"/>
              <w:jc w:val="both"/>
              <w:rPr>
                <w:bCs/>
                <w:sz w:val="24"/>
                <w:szCs w:val="24"/>
              </w:rPr>
            </w:pPr>
            <w:r w:rsidRPr="008244DC">
              <w:rPr>
                <w:bCs/>
                <w:sz w:val="24"/>
                <w:szCs w:val="24"/>
              </w:rPr>
              <w:t>c. Australia’s unique geological and ecological  features make it a particularly attractive tourist location</w:t>
            </w:r>
          </w:p>
        </w:tc>
      </w:tr>
      <w:tr w:rsidR="0055607A" w:rsidRPr="008244DC" w:rsidTr="003540C2">
        <w:tc>
          <w:tcPr>
            <w:tcW w:w="4621" w:type="dxa"/>
          </w:tcPr>
          <w:p w:rsidR="0055607A" w:rsidRPr="008244DC" w:rsidRDefault="0055607A" w:rsidP="003540C2">
            <w:pPr>
              <w:pStyle w:val="ListParagraph"/>
              <w:ind w:left="0" w:right="-46"/>
              <w:jc w:val="both"/>
              <w:rPr>
                <w:bCs/>
                <w:sz w:val="24"/>
                <w:szCs w:val="24"/>
              </w:rPr>
            </w:pPr>
            <w:r w:rsidRPr="008244DC">
              <w:rPr>
                <w:bCs/>
                <w:sz w:val="24"/>
                <w:szCs w:val="24"/>
              </w:rPr>
              <w:t>4. Concluding remarks</w:t>
            </w:r>
          </w:p>
        </w:tc>
        <w:tc>
          <w:tcPr>
            <w:tcW w:w="4621" w:type="dxa"/>
          </w:tcPr>
          <w:p w:rsidR="0055607A" w:rsidRPr="008244DC" w:rsidRDefault="0055607A" w:rsidP="003540C2">
            <w:pPr>
              <w:pStyle w:val="ListParagraph"/>
              <w:ind w:left="0" w:right="-46"/>
              <w:jc w:val="both"/>
              <w:rPr>
                <w:bCs/>
                <w:sz w:val="24"/>
                <w:szCs w:val="24"/>
              </w:rPr>
            </w:pPr>
            <w:r w:rsidRPr="008244DC">
              <w:rPr>
                <w:bCs/>
                <w:sz w:val="24"/>
                <w:szCs w:val="24"/>
              </w:rPr>
              <w:t xml:space="preserve">d. Favourite destinations included: Uluru, beaches and tropical rainforests. Uluru is the world’s largest monolith (RET, 2009). This formation is so rare that the Uluru-Kata </w:t>
            </w:r>
            <w:proofErr w:type="spellStart"/>
            <w:r w:rsidRPr="008244DC">
              <w:rPr>
                <w:bCs/>
                <w:sz w:val="24"/>
                <w:szCs w:val="24"/>
              </w:rPr>
              <w:t>Tjuta</w:t>
            </w:r>
            <w:proofErr w:type="spellEnd"/>
            <w:r w:rsidRPr="008244DC">
              <w:rPr>
                <w:bCs/>
                <w:sz w:val="24"/>
                <w:szCs w:val="24"/>
              </w:rPr>
              <w:t xml:space="preserve"> National Park is one of the few World Heritage properties listed for both its natural and cultural values (Georgiou, 2007, 21). Australia has over 10,000 miles of white sandy beaches, some of the world’s best surfing conditions and a climate that allows comfortable swimming throughout the year (RET, 2009). Australia’s tropical north offers some of the most pristine wilderness left in the world. For example, The Cape York Peninsula is approximately the size of England, Scotland and Wales (137,000 km²), but has only 18,000 residents (Georgiou, 25).</w:t>
            </w:r>
          </w:p>
        </w:tc>
      </w:tr>
    </w:tbl>
    <w:p w:rsidR="0055607A" w:rsidRPr="008244DC" w:rsidRDefault="0055607A" w:rsidP="0055607A">
      <w:pPr>
        <w:rPr>
          <w:b/>
          <w:bCs/>
          <w:color w:val="000000" w:themeColor="text1"/>
          <w:sz w:val="24"/>
          <w:szCs w:val="24"/>
        </w:rPr>
      </w:pPr>
      <w:r w:rsidRPr="008244DC">
        <w:rPr>
          <w:b/>
          <w:bCs/>
          <w:sz w:val="24"/>
          <w:szCs w:val="24"/>
        </w:rPr>
        <w:t xml:space="preserve">Source: Available at: </w:t>
      </w:r>
      <w:hyperlink r:id="rId9" w:history="1">
        <w:r w:rsidRPr="008244DC">
          <w:rPr>
            <w:rStyle w:val="Hyperlink"/>
            <w:b/>
            <w:bCs/>
            <w:color w:val="000000" w:themeColor="text1"/>
            <w:sz w:val="24"/>
            <w:szCs w:val="24"/>
            <w:u w:val="none"/>
          </w:rPr>
          <w:t>http://studywell.library.qut.edu.au/pdf_files/WRITING_WritingStructureOverview.pdf</w:t>
        </w:r>
      </w:hyperlink>
      <w:r w:rsidRPr="008244DC">
        <w:rPr>
          <w:b/>
          <w:bCs/>
          <w:color w:val="000000" w:themeColor="text1"/>
          <w:sz w:val="24"/>
          <w:szCs w:val="24"/>
        </w:rPr>
        <w:t xml:space="preserve"> </w:t>
      </w:r>
    </w:p>
    <w:p w:rsidR="0055607A" w:rsidRPr="008244DC" w:rsidRDefault="0055607A" w:rsidP="008244DC">
      <w:pPr>
        <w:ind w:right="-46"/>
        <w:jc w:val="center"/>
        <w:rPr>
          <w:bCs/>
          <w:i/>
          <w:color w:val="4F81BD" w:themeColor="accent1"/>
          <w:sz w:val="24"/>
          <w:szCs w:val="24"/>
        </w:rPr>
      </w:pPr>
      <w:r w:rsidRPr="008244DC">
        <w:rPr>
          <w:bCs/>
          <w:i/>
          <w:color w:val="4F81BD" w:themeColor="accent1"/>
          <w:sz w:val="24"/>
          <w:szCs w:val="24"/>
        </w:rPr>
        <w:t>Look at the sentence/s below and match them with their corresponding function</w:t>
      </w:r>
    </w:p>
    <w:tbl>
      <w:tblPr>
        <w:tblStyle w:val="TableGrid"/>
        <w:tblW w:w="0" w:type="auto"/>
        <w:tblLook w:val="04A0" w:firstRow="1" w:lastRow="0" w:firstColumn="1" w:lastColumn="0" w:noHBand="0" w:noVBand="1"/>
      </w:tblPr>
      <w:tblGrid>
        <w:gridCol w:w="4621"/>
        <w:gridCol w:w="4621"/>
      </w:tblGrid>
      <w:tr w:rsidR="0055607A" w:rsidRPr="008244DC" w:rsidTr="003540C2">
        <w:tc>
          <w:tcPr>
            <w:tcW w:w="4621" w:type="dxa"/>
          </w:tcPr>
          <w:p w:rsidR="0055607A" w:rsidRPr="008244DC" w:rsidRDefault="0055607A" w:rsidP="0055607A">
            <w:pPr>
              <w:pStyle w:val="ListParagraph"/>
              <w:numPr>
                <w:ilvl w:val="0"/>
                <w:numId w:val="3"/>
              </w:numPr>
              <w:jc w:val="both"/>
              <w:rPr>
                <w:rFonts w:ascii="Calibri" w:hAnsi="Calibri" w:cs="Calibri"/>
                <w:sz w:val="24"/>
                <w:szCs w:val="24"/>
                <w:lang w:val="en-US"/>
              </w:rPr>
            </w:pPr>
            <w:r w:rsidRPr="008244DC">
              <w:rPr>
                <w:rFonts w:ascii="Calibri" w:hAnsi="Calibri" w:cs="Calibri"/>
                <w:sz w:val="24"/>
                <w:szCs w:val="24"/>
                <w:lang w:val="en-US"/>
              </w:rPr>
              <w:lastRenderedPageBreak/>
              <w:t>Thesis statement/argument</w:t>
            </w:r>
          </w:p>
        </w:tc>
        <w:tc>
          <w:tcPr>
            <w:tcW w:w="4621" w:type="dxa"/>
          </w:tcPr>
          <w:p w:rsidR="0055607A" w:rsidRPr="008244DC" w:rsidRDefault="0055607A" w:rsidP="0055607A">
            <w:pPr>
              <w:pStyle w:val="ListParagraph"/>
              <w:numPr>
                <w:ilvl w:val="0"/>
                <w:numId w:val="4"/>
              </w:numPr>
              <w:jc w:val="both"/>
              <w:rPr>
                <w:rFonts w:ascii="Calibri" w:hAnsi="Calibri" w:cs="Calibri"/>
                <w:sz w:val="24"/>
                <w:szCs w:val="24"/>
                <w:lang w:val="en-US"/>
              </w:rPr>
            </w:pPr>
            <w:r w:rsidRPr="008244DC">
              <w:rPr>
                <w:rFonts w:ascii="Calibri" w:hAnsi="Calibri" w:cs="Calibri"/>
                <w:sz w:val="24"/>
                <w:szCs w:val="24"/>
                <w:lang w:val="en-US"/>
              </w:rPr>
              <w:t>To illustrate this importance, development aid has become the single biggest source of finance for the majority of the African states.</w:t>
            </w:r>
          </w:p>
        </w:tc>
      </w:tr>
      <w:tr w:rsidR="0055607A" w:rsidRPr="008244DC" w:rsidTr="003540C2">
        <w:tc>
          <w:tcPr>
            <w:tcW w:w="4621" w:type="dxa"/>
          </w:tcPr>
          <w:p w:rsidR="0055607A" w:rsidRPr="008244DC" w:rsidRDefault="0055607A" w:rsidP="0055607A">
            <w:pPr>
              <w:pStyle w:val="ListParagraph"/>
              <w:numPr>
                <w:ilvl w:val="0"/>
                <w:numId w:val="3"/>
              </w:numPr>
              <w:jc w:val="both"/>
              <w:rPr>
                <w:rFonts w:ascii="Calibri" w:hAnsi="Calibri" w:cs="Calibri"/>
                <w:sz w:val="24"/>
                <w:szCs w:val="24"/>
                <w:lang w:val="en-US"/>
              </w:rPr>
            </w:pPr>
            <w:r w:rsidRPr="008244DC">
              <w:rPr>
                <w:rFonts w:ascii="Calibri" w:hAnsi="Calibri" w:cs="Calibri"/>
                <w:sz w:val="24"/>
                <w:szCs w:val="24"/>
                <w:lang w:val="en-US"/>
              </w:rPr>
              <w:t>Evidence (1)</w:t>
            </w:r>
          </w:p>
        </w:tc>
        <w:tc>
          <w:tcPr>
            <w:tcW w:w="4621" w:type="dxa"/>
          </w:tcPr>
          <w:p w:rsidR="0055607A" w:rsidRPr="008244DC" w:rsidRDefault="0055607A" w:rsidP="0055607A">
            <w:pPr>
              <w:pStyle w:val="ListParagraph"/>
              <w:numPr>
                <w:ilvl w:val="0"/>
                <w:numId w:val="4"/>
              </w:numPr>
              <w:jc w:val="both"/>
              <w:rPr>
                <w:rFonts w:ascii="Calibri" w:hAnsi="Calibri" w:cs="Calibri"/>
                <w:sz w:val="24"/>
                <w:szCs w:val="24"/>
                <w:lang w:val="en-US"/>
              </w:rPr>
            </w:pPr>
            <w:r w:rsidRPr="008244DC">
              <w:rPr>
                <w:rFonts w:ascii="Calibri" w:hAnsi="Calibri" w:cs="Calibri"/>
                <w:sz w:val="24"/>
                <w:szCs w:val="24"/>
                <w:lang w:val="en-US"/>
              </w:rPr>
              <w:t>As a result, development aid is Africa is very important as it accounts for a large share of Africa’s total income.</w:t>
            </w:r>
          </w:p>
        </w:tc>
      </w:tr>
      <w:tr w:rsidR="0055607A" w:rsidRPr="008244DC" w:rsidTr="003540C2">
        <w:tc>
          <w:tcPr>
            <w:tcW w:w="4621" w:type="dxa"/>
          </w:tcPr>
          <w:p w:rsidR="0055607A" w:rsidRPr="008244DC" w:rsidRDefault="0055607A" w:rsidP="0055607A">
            <w:pPr>
              <w:pStyle w:val="ListParagraph"/>
              <w:numPr>
                <w:ilvl w:val="0"/>
                <w:numId w:val="3"/>
              </w:numPr>
              <w:jc w:val="both"/>
              <w:rPr>
                <w:rFonts w:ascii="Calibri" w:hAnsi="Calibri" w:cs="Calibri"/>
                <w:sz w:val="24"/>
                <w:szCs w:val="24"/>
                <w:lang w:val="en-US"/>
              </w:rPr>
            </w:pPr>
            <w:r w:rsidRPr="008244DC">
              <w:rPr>
                <w:rFonts w:ascii="Calibri" w:hAnsi="Calibri" w:cs="Calibri"/>
                <w:sz w:val="24"/>
                <w:szCs w:val="24"/>
                <w:lang w:val="en-US"/>
              </w:rPr>
              <w:t>Evidence (2)</w:t>
            </w:r>
          </w:p>
        </w:tc>
        <w:tc>
          <w:tcPr>
            <w:tcW w:w="4621" w:type="dxa"/>
          </w:tcPr>
          <w:p w:rsidR="0055607A" w:rsidRPr="008244DC" w:rsidRDefault="0055607A" w:rsidP="0055607A">
            <w:pPr>
              <w:pStyle w:val="ListParagraph"/>
              <w:numPr>
                <w:ilvl w:val="0"/>
                <w:numId w:val="4"/>
              </w:numPr>
              <w:jc w:val="both"/>
              <w:rPr>
                <w:sz w:val="24"/>
                <w:szCs w:val="24"/>
                <w:lang w:val="en-ZA"/>
              </w:rPr>
            </w:pPr>
            <w:r w:rsidRPr="008244DC">
              <w:rPr>
                <w:rFonts w:ascii="Calibri" w:hAnsi="Calibri" w:cs="Calibri"/>
                <w:sz w:val="24"/>
                <w:szCs w:val="24"/>
                <w:lang w:val="en-US"/>
              </w:rPr>
              <w:t>Furthermore, and again illustrating the importance of development aid in Africa, is the fact that sub-Saharan Africa receives more aid than any other region in the world. According to the Development Initiative, in 2010, SSA received a total of $45 billion in foreign aid, roughly a third of total global foreign aid. This figure averages to around $97 per person as compared to the $41 per person in Asia.</w:t>
            </w:r>
          </w:p>
        </w:tc>
      </w:tr>
      <w:tr w:rsidR="0055607A" w:rsidRPr="008244DC" w:rsidTr="003540C2">
        <w:tc>
          <w:tcPr>
            <w:tcW w:w="4621" w:type="dxa"/>
          </w:tcPr>
          <w:p w:rsidR="0055607A" w:rsidRPr="008244DC" w:rsidRDefault="0055607A" w:rsidP="0055607A">
            <w:pPr>
              <w:pStyle w:val="ListParagraph"/>
              <w:numPr>
                <w:ilvl w:val="0"/>
                <w:numId w:val="3"/>
              </w:numPr>
              <w:jc w:val="both"/>
              <w:rPr>
                <w:rFonts w:ascii="Calibri" w:hAnsi="Calibri" w:cs="Calibri"/>
                <w:sz w:val="24"/>
                <w:szCs w:val="24"/>
                <w:lang w:val="en-US"/>
              </w:rPr>
            </w:pPr>
            <w:r w:rsidRPr="008244DC">
              <w:rPr>
                <w:rFonts w:ascii="Calibri" w:hAnsi="Calibri" w:cs="Calibri"/>
                <w:sz w:val="24"/>
                <w:szCs w:val="24"/>
                <w:lang w:val="en-US"/>
              </w:rPr>
              <w:t>Concluding remarks</w:t>
            </w:r>
          </w:p>
        </w:tc>
        <w:tc>
          <w:tcPr>
            <w:tcW w:w="4621" w:type="dxa"/>
          </w:tcPr>
          <w:p w:rsidR="0055607A" w:rsidRPr="008244DC" w:rsidRDefault="0055607A" w:rsidP="0055607A">
            <w:pPr>
              <w:pStyle w:val="ListParagraph"/>
              <w:numPr>
                <w:ilvl w:val="0"/>
                <w:numId w:val="4"/>
              </w:numPr>
              <w:jc w:val="both"/>
              <w:rPr>
                <w:rFonts w:ascii="Calibri" w:hAnsi="Calibri" w:cs="Calibri"/>
                <w:sz w:val="24"/>
                <w:szCs w:val="24"/>
                <w:lang w:val="en-US"/>
              </w:rPr>
            </w:pPr>
            <w:r w:rsidRPr="008244DC">
              <w:rPr>
                <w:rFonts w:ascii="Calibri" w:hAnsi="Calibri" w:cs="Calibri"/>
                <w:sz w:val="24"/>
                <w:szCs w:val="24"/>
                <w:lang w:val="en-US"/>
              </w:rPr>
              <w:t>Development aid is a very important tool for Africa’s development as Africa receives large amounts of assistance from the West.</w:t>
            </w:r>
          </w:p>
        </w:tc>
      </w:tr>
    </w:tbl>
    <w:p w:rsidR="0055607A" w:rsidRDefault="0055607A" w:rsidP="0055607A">
      <w:pPr>
        <w:jc w:val="both"/>
        <w:rPr>
          <w:rFonts w:ascii="Calibri" w:hAnsi="Calibri" w:cs="Calibri"/>
          <w:szCs w:val="24"/>
          <w:lang w:val="en-US"/>
        </w:rPr>
      </w:pPr>
    </w:p>
    <w:p w:rsidR="0055607A" w:rsidRPr="008244DC" w:rsidRDefault="0055607A" w:rsidP="008244DC">
      <w:pPr>
        <w:ind w:right="-46"/>
        <w:jc w:val="center"/>
        <w:rPr>
          <w:bCs/>
          <w:i/>
          <w:color w:val="4F81BD" w:themeColor="accent1"/>
          <w:sz w:val="24"/>
          <w:szCs w:val="24"/>
        </w:rPr>
      </w:pPr>
      <w:r w:rsidRPr="008244DC">
        <w:rPr>
          <w:bCs/>
          <w:i/>
          <w:color w:val="4F81BD" w:themeColor="accent1"/>
          <w:sz w:val="24"/>
          <w:szCs w:val="24"/>
        </w:rPr>
        <w:t>Look at the sentence/s below and match them with their corresponding function</w:t>
      </w:r>
    </w:p>
    <w:tbl>
      <w:tblPr>
        <w:tblStyle w:val="TableGrid"/>
        <w:tblW w:w="0" w:type="auto"/>
        <w:tblLook w:val="04A0" w:firstRow="1" w:lastRow="0" w:firstColumn="1" w:lastColumn="0" w:noHBand="0" w:noVBand="1"/>
      </w:tblPr>
      <w:tblGrid>
        <w:gridCol w:w="4621"/>
        <w:gridCol w:w="4621"/>
      </w:tblGrid>
      <w:tr w:rsidR="0055607A" w:rsidRPr="008244DC" w:rsidTr="003540C2">
        <w:tc>
          <w:tcPr>
            <w:tcW w:w="4621" w:type="dxa"/>
          </w:tcPr>
          <w:p w:rsidR="0055607A" w:rsidRPr="008244DC" w:rsidRDefault="0055607A" w:rsidP="0055607A">
            <w:pPr>
              <w:pStyle w:val="ListParagraph"/>
              <w:numPr>
                <w:ilvl w:val="0"/>
                <w:numId w:val="2"/>
              </w:numPr>
              <w:jc w:val="both"/>
              <w:rPr>
                <w:rFonts w:ascii="Calibri" w:hAnsi="Calibri" w:cs="Calibri"/>
                <w:sz w:val="24"/>
                <w:szCs w:val="24"/>
                <w:lang w:val="en-US"/>
              </w:rPr>
            </w:pPr>
            <w:r w:rsidRPr="008244DC">
              <w:rPr>
                <w:rFonts w:ascii="Calibri" w:hAnsi="Calibri" w:cs="Calibri"/>
                <w:sz w:val="24"/>
                <w:szCs w:val="24"/>
                <w:lang w:val="en-US"/>
              </w:rPr>
              <w:t>Thesis Statement/argument</w:t>
            </w:r>
          </w:p>
        </w:tc>
        <w:tc>
          <w:tcPr>
            <w:tcW w:w="4621" w:type="dxa"/>
          </w:tcPr>
          <w:p w:rsidR="0055607A" w:rsidRPr="008244DC" w:rsidRDefault="0055607A" w:rsidP="0055607A">
            <w:pPr>
              <w:pStyle w:val="ListParagraph"/>
              <w:numPr>
                <w:ilvl w:val="0"/>
                <w:numId w:val="5"/>
              </w:numPr>
              <w:jc w:val="both"/>
              <w:rPr>
                <w:rFonts w:ascii="Calibri" w:hAnsi="Calibri" w:cs="Calibri"/>
                <w:sz w:val="24"/>
                <w:szCs w:val="24"/>
                <w:lang w:val="en-US"/>
              </w:rPr>
            </w:pPr>
            <w:r w:rsidRPr="008244DC">
              <w:rPr>
                <w:rFonts w:ascii="Calibri" w:hAnsi="Calibri" w:cs="Calibri"/>
                <w:sz w:val="24"/>
                <w:szCs w:val="24"/>
                <w:lang w:val="en-US"/>
              </w:rPr>
              <w:t xml:space="preserve">According to </w:t>
            </w:r>
            <w:proofErr w:type="spellStart"/>
            <w:r w:rsidRPr="008244DC">
              <w:rPr>
                <w:rFonts w:ascii="Calibri" w:hAnsi="Calibri" w:cs="Calibri"/>
                <w:sz w:val="24"/>
                <w:szCs w:val="24"/>
                <w:lang w:val="en-US"/>
              </w:rPr>
              <w:t>Afrobarometer’s</w:t>
            </w:r>
            <w:proofErr w:type="spellEnd"/>
            <w:r w:rsidRPr="008244DC">
              <w:rPr>
                <w:rFonts w:ascii="Calibri" w:hAnsi="Calibri" w:cs="Calibri"/>
                <w:sz w:val="24"/>
                <w:szCs w:val="24"/>
                <w:lang w:val="en-US"/>
              </w:rPr>
              <w:t xml:space="preserve"> 2</w:t>
            </w:r>
            <w:r w:rsidR="00D16132" w:rsidRPr="008244DC">
              <w:rPr>
                <w:rFonts w:ascii="Calibri" w:hAnsi="Calibri" w:cs="Calibri"/>
                <w:sz w:val="24"/>
                <w:szCs w:val="24"/>
                <w:lang w:val="en-US"/>
              </w:rPr>
              <w:t xml:space="preserve">012 country </w:t>
            </w:r>
            <w:r w:rsidRPr="008244DC">
              <w:rPr>
                <w:rFonts w:ascii="Calibri" w:hAnsi="Calibri" w:cs="Calibri"/>
                <w:sz w:val="24"/>
                <w:szCs w:val="24"/>
                <w:lang w:val="en-US"/>
              </w:rPr>
              <w:t>survey, around 35% of participants stated that they were likely or very likely to take action against foreigners.</w:t>
            </w:r>
          </w:p>
        </w:tc>
      </w:tr>
      <w:tr w:rsidR="0055607A" w:rsidRPr="008244DC" w:rsidTr="003540C2">
        <w:tc>
          <w:tcPr>
            <w:tcW w:w="4621" w:type="dxa"/>
          </w:tcPr>
          <w:p w:rsidR="0055607A" w:rsidRPr="008244DC" w:rsidRDefault="0055607A" w:rsidP="0055607A">
            <w:pPr>
              <w:pStyle w:val="ListParagraph"/>
              <w:numPr>
                <w:ilvl w:val="0"/>
                <w:numId w:val="2"/>
              </w:numPr>
              <w:jc w:val="both"/>
              <w:rPr>
                <w:rFonts w:ascii="Calibri" w:hAnsi="Calibri" w:cs="Calibri"/>
                <w:sz w:val="24"/>
                <w:szCs w:val="24"/>
                <w:lang w:val="en-US"/>
              </w:rPr>
            </w:pPr>
            <w:r w:rsidRPr="008244DC">
              <w:rPr>
                <w:rFonts w:ascii="Calibri" w:hAnsi="Calibri" w:cs="Calibri"/>
                <w:sz w:val="24"/>
                <w:szCs w:val="24"/>
                <w:lang w:val="en-US"/>
              </w:rPr>
              <w:t>Evidence (3)</w:t>
            </w:r>
          </w:p>
        </w:tc>
        <w:tc>
          <w:tcPr>
            <w:tcW w:w="4621" w:type="dxa"/>
          </w:tcPr>
          <w:p w:rsidR="0055607A" w:rsidRPr="008244DC" w:rsidRDefault="0055607A" w:rsidP="0055607A">
            <w:pPr>
              <w:pStyle w:val="ListParagraph"/>
              <w:numPr>
                <w:ilvl w:val="0"/>
                <w:numId w:val="5"/>
              </w:numPr>
              <w:jc w:val="both"/>
              <w:rPr>
                <w:rFonts w:ascii="Calibri" w:hAnsi="Calibri" w:cs="Calibri"/>
                <w:sz w:val="24"/>
                <w:szCs w:val="24"/>
                <w:lang w:val="en-US"/>
              </w:rPr>
            </w:pPr>
            <w:r w:rsidRPr="008244DC">
              <w:rPr>
                <w:rFonts w:ascii="Calibri" w:hAnsi="Calibri" w:cs="Calibri"/>
                <w:sz w:val="24"/>
                <w:szCs w:val="24"/>
                <w:lang w:val="en-US"/>
              </w:rPr>
              <w:t xml:space="preserve">Moreover, while trust levels in South Africa are generally quite low, a massive 65% of those interviewed stated that they do not trust foreigners </w:t>
            </w:r>
            <w:r w:rsidR="00D16132" w:rsidRPr="008244DC">
              <w:rPr>
                <w:rFonts w:ascii="Calibri" w:hAnsi="Calibri" w:cs="Calibri"/>
                <w:sz w:val="24"/>
                <w:szCs w:val="24"/>
                <w:lang w:val="en-US"/>
              </w:rPr>
              <w:t>‘</w:t>
            </w:r>
            <w:r w:rsidRPr="008244DC">
              <w:rPr>
                <w:rFonts w:ascii="Calibri" w:hAnsi="Calibri" w:cs="Calibri"/>
                <w:sz w:val="24"/>
                <w:szCs w:val="24"/>
                <w:lang w:val="en-US"/>
              </w:rPr>
              <w:t>at all</w:t>
            </w:r>
            <w:r w:rsidR="00D16132" w:rsidRPr="008244DC">
              <w:rPr>
                <w:rFonts w:ascii="Calibri" w:hAnsi="Calibri" w:cs="Calibri"/>
                <w:sz w:val="24"/>
                <w:szCs w:val="24"/>
                <w:lang w:val="en-US"/>
              </w:rPr>
              <w:t>’</w:t>
            </w:r>
            <w:r w:rsidRPr="008244DC">
              <w:rPr>
                <w:rFonts w:ascii="Calibri" w:hAnsi="Calibri" w:cs="Calibri"/>
                <w:sz w:val="24"/>
                <w:szCs w:val="24"/>
                <w:lang w:val="en-US"/>
              </w:rPr>
              <w:t xml:space="preserve">. The survey evidence indicates that a large share of South African’s are suspicious, if not </w:t>
            </w:r>
            <w:r w:rsidR="0075768C" w:rsidRPr="008244DC">
              <w:rPr>
                <w:rFonts w:ascii="Calibri" w:hAnsi="Calibri" w:cs="Calibri"/>
                <w:sz w:val="24"/>
                <w:szCs w:val="24"/>
                <w:lang w:val="en-US"/>
              </w:rPr>
              <w:t xml:space="preserve">outright hostile towards </w:t>
            </w:r>
            <w:r w:rsidRPr="008244DC">
              <w:rPr>
                <w:rFonts w:ascii="Calibri" w:hAnsi="Calibri" w:cs="Calibri"/>
                <w:sz w:val="24"/>
                <w:szCs w:val="24"/>
                <w:lang w:val="en-US"/>
              </w:rPr>
              <w:t>foreigners living and working in the country.</w:t>
            </w:r>
          </w:p>
        </w:tc>
      </w:tr>
      <w:tr w:rsidR="0055607A" w:rsidRPr="008244DC" w:rsidTr="003540C2">
        <w:tc>
          <w:tcPr>
            <w:tcW w:w="4621" w:type="dxa"/>
          </w:tcPr>
          <w:p w:rsidR="0055607A" w:rsidRPr="008244DC" w:rsidRDefault="0055607A" w:rsidP="0055607A">
            <w:pPr>
              <w:pStyle w:val="ListParagraph"/>
              <w:numPr>
                <w:ilvl w:val="0"/>
                <w:numId w:val="2"/>
              </w:numPr>
              <w:jc w:val="both"/>
              <w:rPr>
                <w:rFonts w:ascii="Calibri" w:hAnsi="Calibri" w:cs="Calibri"/>
                <w:sz w:val="24"/>
                <w:szCs w:val="24"/>
                <w:lang w:val="en-US"/>
              </w:rPr>
            </w:pPr>
            <w:r w:rsidRPr="008244DC">
              <w:rPr>
                <w:rFonts w:ascii="Calibri" w:hAnsi="Calibri" w:cs="Calibri"/>
                <w:sz w:val="24"/>
                <w:szCs w:val="24"/>
                <w:lang w:val="en-US"/>
              </w:rPr>
              <w:t>Evidence (2)</w:t>
            </w:r>
          </w:p>
        </w:tc>
        <w:tc>
          <w:tcPr>
            <w:tcW w:w="4621" w:type="dxa"/>
          </w:tcPr>
          <w:p w:rsidR="0055607A" w:rsidRPr="008244DC" w:rsidRDefault="0055607A" w:rsidP="003B03C9">
            <w:pPr>
              <w:pStyle w:val="ListParagraph"/>
              <w:numPr>
                <w:ilvl w:val="0"/>
                <w:numId w:val="5"/>
              </w:numPr>
              <w:jc w:val="both"/>
              <w:rPr>
                <w:rFonts w:ascii="Calibri" w:hAnsi="Calibri" w:cs="Calibri"/>
                <w:sz w:val="24"/>
                <w:szCs w:val="24"/>
                <w:lang w:val="en-US"/>
              </w:rPr>
            </w:pPr>
            <w:r w:rsidRPr="008244DC">
              <w:rPr>
                <w:rFonts w:ascii="Calibri" w:hAnsi="Calibri" w:cs="Calibri"/>
                <w:sz w:val="24"/>
                <w:szCs w:val="24"/>
                <w:lang w:val="en-US"/>
              </w:rPr>
              <w:t xml:space="preserve">The 2008 xenophobic attacks </w:t>
            </w:r>
            <w:r w:rsidR="003B03C9" w:rsidRPr="008244DC">
              <w:rPr>
                <w:rFonts w:ascii="Calibri" w:hAnsi="Calibri" w:cs="Calibri"/>
                <w:sz w:val="24"/>
                <w:szCs w:val="24"/>
                <w:lang w:val="en-US"/>
              </w:rPr>
              <w:t>drew attention to deep seeded xenophobic attitudes in South Africa.</w:t>
            </w:r>
          </w:p>
        </w:tc>
      </w:tr>
      <w:tr w:rsidR="0055607A" w:rsidRPr="008244DC" w:rsidTr="003540C2">
        <w:tc>
          <w:tcPr>
            <w:tcW w:w="4621" w:type="dxa"/>
          </w:tcPr>
          <w:p w:rsidR="0055607A" w:rsidRPr="008244DC" w:rsidRDefault="0055607A" w:rsidP="0055607A">
            <w:pPr>
              <w:pStyle w:val="ListParagraph"/>
              <w:numPr>
                <w:ilvl w:val="0"/>
                <w:numId w:val="2"/>
              </w:numPr>
              <w:jc w:val="both"/>
              <w:rPr>
                <w:rFonts w:ascii="Calibri" w:hAnsi="Calibri" w:cs="Calibri"/>
                <w:sz w:val="24"/>
                <w:szCs w:val="24"/>
                <w:lang w:val="en-US"/>
              </w:rPr>
            </w:pPr>
            <w:r w:rsidRPr="008244DC">
              <w:rPr>
                <w:rFonts w:ascii="Calibri" w:hAnsi="Calibri" w:cs="Calibri"/>
                <w:sz w:val="24"/>
                <w:szCs w:val="24"/>
                <w:lang w:val="en-US"/>
              </w:rPr>
              <w:t>Concluding remarks</w:t>
            </w:r>
          </w:p>
        </w:tc>
        <w:tc>
          <w:tcPr>
            <w:tcW w:w="4621" w:type="dxa"/>
          </w:tcPr>
          <w:p w:rsidR="0055607A" w:rsidRPr="008244DC" w:rsidRDefault="0055607A" w:rsidP="0055607A">
            <w:pPr>
              <w:pStyle w:val="ListParagraph"/>
              <w:numPr>
                <w:ilvl w:val="0"/>
                <w:numId w:val="5"/>
              </w:numPr>
              <w:jc w:val="both"/>
              <w:rPr>
                <w:rFonts w:ascii="Calibri" w:hAnsi="Calibri" w:cs="Calibri"/>
                <w:sz w:val="24"/>
                <w:szCs w:val="24"/>
                <w:lang w:val="en-US"/>
              </w:rPr>
            </w:pPr>
            <w:r w:rsidRPr="008244DC">
              <w:rPr>
                <w:rFonts w:ascii="Calibri" w:hAnsi="Calibri" w:cs="Calibri"/>
                <w:sz w:val="24"/>
                <w:szCs w:val="24"/>
                <w:lang w:val="en-US"/>
              </w:rPr>
              <w:t xml:space="preserve">As a result, South Africa is often thought to be a highly xenophobic </w:t>
            </w:r>
            <w:r w:rsidRPr="008244DC">
              <w:rPr>
                <w:rFonts w:ascii="Calibri" w:hAnsi="Calibri" w:cs="Calibri"/>
                <w:sz w:val="24"/>
                <w:szCs w:val="24"/>
                <w:lang w:val="en-US"/>
              </w:rPr>
              <w:lastRenderedPageBreak/>
              <w:t>country.</w:t>
            </w:r>
          </w:p>
        </w:tc>
      </w:tr>
    </w:tbl>
    <w:p w:rsidR="0086311F" w:rsidRDefault="0086311F" w:rsidP="00DE2EEF"/>
    <w:p w:rsidR="0055607A" w:rsidRPr="008244DC" w:rsidRDefault="0055607A" w:rsidP="0055607A">
      <w:pPr>
        <w:jc w:val="center"/>
        <w:rPr>
          <w:rFonts w:ascii="Calibri" w:hAnsi="Calibri" w:cs="Calibri"/>
          <w:b/>
          <w:color w:val="000000" w:themeColor="text1"/>
          <w:sz w:val="24"/>
          <w:szCs w:val="24"/>
          <w:u w:val="single"/>
          <w:lang w:val="en-US"/>
        </w:rPr>
      </w:pPr>
      <w:r w:rsidRPr="008244DC">
        <w:rPr>
          <w:rFonts w:ascii="Calibri" w:hAnsi="Calibri" w:cs="Calibri"/>
          <w:b/>
          <w:color w:val="000000" w:themeColor="text1"/>
          <w:sz w:val="24"/>
          <w:szCs w:val="24"/>
          <w:u w:val="single"/>
          <w:lang w:val="en-US"/>
        </w:rPr>
        <w:t>Activity 2</w:t>
      </w:r>
    </w:p>
    <w:p w:rsidR="0055607A" w:rsidRPr="008244DC" w:rsidRDefault="00C22689" w:rsidP="0055607A">
      <w:pPr>
        <w:jc w:val="center"/>
        <w:rPr>
          <w:rFonts w:ascii="Calibri" w:hAnsi="Calibri" w:cs="Calibri"/>
          <w:i/>
          <w:color w:val="4F81BD" w:themeColor="accent1"/>
          <w:sz w:val="24"/>
          <w:szCs w:val="24"/>
          <w:lang w:val="en-US"/>
        </w:rPr>
      </w:pPr>
      <w:r w:rsidRPr="008244DC">
        <w:rPr>
          <w:rFonts w:ascii="Calibri" w:hAnsi="Calibri" w:cs="Calibri"/>
          <w:i/>
          <w:color w:val="4F81BD" w:themeColor="accent1"/>
          <w:sz w:val="24"/>
          <w:szCs w:val="24"/>
          <w:lang w:val="en-US"/>
        </w:rPr>
        <w:t>You</w:t>
      </w:r>
      <w:r w:rsidR="0055607A" w:rsidRPr="008244DC">
        <w:rPr>
          <w:rFonts w:ascii="Calibri" w:hAnsi="Calibri" w:cs="Calibri"/>
          <w:i/>
          <w:color w:val="4F81BD" w:themeColor="accent1"/>
          <w:sz w:val="24"/>
          <w:szCs w:val="24"/>
          <w:lang w:val="en-US"/>
        </w:rPr>
        <w:t xml:space="preserve"> are free to write a wide range of possible thesis statements, so long as the evidence and the sentences below corre</w:t>
      </w:r>
      <w:r w:rsidRPr="008244DC">
        <w:rPr>
          <w:rFonts w:ascii="Calibri" w:hAnsi="Calibri" w:cs="Calibri"/>
          <w:i/>
          <w:color w:val="4F81BD" w:themeColor="accent1"/>
          <w:sz w:val="24"/>
          <w:szCs w:val="24"/>
          <w:lang w:val="en-US"/>
        </w:rPr>
        <w:t>spond with the thesis statement.</w:t>
      </w:r>
    </w:p>
    <w:p w:rsidR="0055607A" w:rsidRPr="008244DC" w:rsidRDefault="0055607A" w:rsidP="008244DC">
      <w:pPr>
        <w:jc w:val="center"/>
        <w:rPr>
          <w:rFonts w:ascii="Calibri" w:hAnsi="Calibri" w:cs="Calibri"/>
          <w:i/>
          <w:color w:val="4F81BD" w:themeColor="accent1"/>
          <w:sz w:val="24"/>
          <w:szCs w:val="24"/>
          <w:lang w:val="en-US"/>
        </w:rPr>
      </w:pPr>
      <w:r w:rsidRPr="008244DC">
        <w:rPr>
          <w:rFonts w:ascii="Calibri" w:hAnsi="Calibri" w:cs="Calibri"/>
          <w:i/>
          <w:color w:val="4F81BD" w:themeColor="accent1"/>
          <w:sz w:val="24"/>
          <w:szCs w:val="24"/>
          <w:lang w:val="en-US"/>
        </w:rPr>
        <w:t>Look at the sentences/evidence and write a thesis statement/argument/claim that the evidence would support.</w:t>
      </w:r>
    </w:p>
    <w:p w:rsidR="0055607A" w:rsidRPr="008244DC" w:rsidRDefault="0055607A" w:rsidP="0055607A">
      <w:pPr>
        <w:pStyle w:val="ListParagraph"/>
        <w:numPr>
          <w:ilvl w:val="0"/>
          <w:numId w:val="1"/>
        </w:numPr>
        <w:jc w:val="both"/>
        <w:rPr>
          <w:rFonts w:ascii="Calibri" w:hAnsi="Calibri" w:cs="Calibri"/>
          <w:color w:val="000000" w:themeColor="text1"/>
          <w:sz w:val="24"/>
          <w:szCs w:val="24"/>
          <w:lang w:val="en-US"/>
        </w:rPr>
      </w:pPr>
      <w:r w:rsidRPr="008244DC">
        <w:rPr>
          <w:rFonts w:ascii="Calibri" w:hAnsi="Calibri" w:cs="Calibri"/>
          <w:color w:val="000000" w:themeColor="text1"/>
          <w:sz w:val="24"/>
          <w:szCs w:val="24"/>
          <w:lang w:val="en-US"/>
        </w:rPr>
        <w:t>According to Prezworski and Limongi, the relationship between regime type and levels of wealth is strong. From the evidence, states which are wealthy (measured by GDP per capita) tend to be democratic while those which are poorer are more likely to be authoritarian. Evidence of this can be seen in Europe where states are generally wealthy as well as democratic. However, the 3</w:t>
      </w:r>
      <w:r w:rsidRPr="008244DC">
        <w:rPr>
          <w:rFonts w:ascii="Calibri" w:hAnsi="Calibri" w:cs="Calibri"/>
          <w:color w:val="000000" w:themeColor="text1"/>
          <w:sz w:val="24"/>
          <w:szCs w:val="24"/>
          <w:vertAlign w:val="superscript"/>
          <w:lang w:val="en-US"/>
        </w:rPr>
        <w:t>rd</w:t>
      </w:r>
      <w:r w:rsidRPr="008244DC">
        <w:rPr>
          <w:rFonts w:ascii="Calibri" w:hAnsi="Calibri" w:cs="Calibri"/>
          <w:color w:val="000000" w:themeColor="text1"/>
          <w:sz w:val="24"/>
          <w:szCs w:val="24"/>
          <w:lang w:val="en-US"/>
        </w:rPr>
        <w:t xml:space="preserve"> wave of democracy has brought democracies to poor countries throughout Africa, Asia and Latin America. As a result, the relationship between regime type and levels of wealth is perhaps not a strong indicator of democracies world-wide. </w:t>
      </w:r>
    </w:p>
    <w:p w:rsidR="0055607A" w:rsidRPr="008244DC" w:rsidRDefault="0055607A" w:rsidP="0055607A">
      <w:pPr>
        <w:pStyle w:val="ListParagraph"/>
        <w:jc w:val="both"/>
        <w:rPr>
          <w:rFonts w:ascii="Calibri" w:hAnsi="Calibri" w:cs="Calibri"/>
          <w:b/>
          <w:color w:val="000000" w:themeColor="text1"/>
          <w:sz w:val="24"/>
          <w:szCs w:val="24"/>
          <w:lang w:val="en-US"/>
        </w:rPr>
      </w:pPr>
      <w:r w:rsidRPr="008244DC">
        <w:rPr>
          <w:rFonts w:ascii="Calibri" w:hAnsi="Calibri" w:cs="Calibri"/>
          <w:b/>
          <w:color w:val="000000" w:themeColor="text1"/>
          <w:sz w:val="24"/>
          <w:szCs w:val="24"/>
          <w:lang w:val="en-US"/>
        </w:rPr>
        <w:t xml:space="preserve">Source: Prezworski, A &amp; Limongi, F. 1997. </w:t>
      </w:r>
      <w:r w:rsidRPr="008244DC">
        <w:rPr>
          <w:rFonts w:ascii="Calibri" w:hAnsi="Calibri" w:cs="Calibri"/>
          <w:b/>
          <w:i/>
          <w:color w:val="000000" w:themeColor="text1"/>
          <w:sz w:val="24"/>
          <w:szCs w:val="24"/>
          <w:lang w:val="en-US"/>
        </w:rPr>
        <w:t xml:space="preserve">Modernization: Theories and facts. </w:t>
      </w:r>
      <w:r w:rsidRPr="008244DC">
        <w:rPr>
          <w:rFonts w:ascii="Calibri" w:hAnsi="Calibri" w:cs="Calibri"/>
          <w:b/>
          <w:color w:val="000000" w:themeColor="text1"/>
          <w:sz w:val="24"/>
          <w:szCs w:val="24"/>
          <w:lang w:val="en-US"/>
        </w:rPr>
        <w:t>World Politics, Vol. 49, No, 02.</w:t>
      </w:r>
    </w:p>
    <w:p w:rsidR="0055607A" w:rsidRPr="008244DC" w:rsidRDefault="0055607A" w:rsidP="0055607A">
      <w:pPr>
        <w:pStyle w:val="ListParagraph"/>
        <w:jc w:val="both"/>
        <w:rPr>
          <w:rFonts w:ascii="Calibri" w:hAnsi="Calibri" w:cs="Calibri"/>
          <w:b/>
          <w:color w:val="000000" w:themeColor="text1"/>
          <w:sz w:val="24"/>
          <w:szCs w:val="24"/>
          <w:lang w:val="en-US"/>
        </w:rPr>
      </w:pPr>
    </w:p>
    <w:p w:rsidR="0055607A" w:rsidRPr="008244DC" w:rsidRDefault="0055607A" w:rsidP="0055607A">
      <w:pPr>
        <w:pStyle w:val="ListParagraph"/>
        <w:numPr>
          <w:ilvl w:val="0"/>
          <w:numId w:val="1"/>
        </w:numPr>
        <w:jc w:val="both"/>
        <w:rPr>
          <w:rFonts w:ascii="Calibri" w:hAnsi="Calibri" w:cs="Calibri"/>
          <w:color w:val="000000" w:themeColor="text1"/>
          <w:sz w:val="24"/>
          <w:szCs w:val="24"/>
          <w:lang w:val="en-US"/>
        </w:rPr>
      </w:pPr>
      <w:r w:rsidRPr="008244DC">
        <w:rPr>
          <w:rFonts w:ascii="Calibri" w:hAnsi="Calibri" w:cs="Calibri"/>
          <w:color w:val="000000" w:themeColor="text1"/>
          <w:sz w:val="24"/>
          <w:szCs w:val="24"/>
          <w:lang w:val="en-US"/>
        </w:rPr>
        <w:t xml:space="preserve">According to Bellin, while the number of global democracies has doubled from 1972, the number of total democracies has declined in the Middle East. Today, only two out of twenty one Middle Eastern countries are considered electoral democracies. In other world, the overwhelming majority of regimes in the Middle East region are authoritarian monarchies, dictatorships, or religious oligarchies. The evidence thus suggests that the Middle East is not democratic in nature. </w:t>
      </w:r>
    </w:p>
    <w:p w:rsidR="0055607A" w:rsidRPr="008244DC" w:rsidRDefault="0055607A" w:rsidP="0055607A">
      <w:pPr>
        <w:pStyle w:val="ListParagraph"/>
        <w:jc w:val="both"/>
        <w:rPr>
          <w:rFonts w:ascii="Calibri" w:hAnsi="Calibri" w:cs="Calibri"/>
          <w:b/>
          <w:color w:val="000000" w:themeColor="text1"/>
          <w:sz w:val="24"/>
          <w:szCs w:val="24"/>
          <w:lang w:val="en-US"/>
        </w:rPr>
      </w:pPr>
      <w:r w:rsidRPr="008244DC">
        <w:rPr>
          <w:rFonts w:ascii="Calibri" w:hAnsi="Calibri" w:cs="Calibri"/>
          <w:b/>
          <w:color w:val="000000" w:themeColor="text1"/>
          <w:sz w:val="24"/>
          <w:szCs w:val="24"/>
          <w:lang w:val="en-US"/>
        </w:rPr>
        <w:t>Source: Bellin, E. 2004.</w:t>
      </w:r>
      <w:r w:rsidRPr="008244DC">
        <w:rPr>
          <w:rFonts w:ascii="Calibri" w:hAnsi="Calibri" w:cs="Calibri"/>
          <w:b/>
          <w:i/>
          <w:color w:val="000000" w:themeColor="text1"/>
          <w:sz w:val="24"/>
          <w:szCs w:val="24"/>
          <w:lang w:val="en-US"/>
        </w:rPr>
        <w:t xml:space="preserve">The Robustness of Authoritarianism in the Middle-East: Exceptionalism in Comparative Perspective. </w:t>
      </w:r>
      <w:r w:rsidRPr="008244DC">
        <w:rPr>
          <w:rFonts w:ascii="Calibri" w:hAnsi="Calibri" w:cs="Calibri"/>
          <w:b/>
          <w:color w:val="000000" w:themeColor="text1"/>
          <w:sz w:val="24"/>
          <w:szCs w:val="24"/>
          <w:lang w:val="en-US"/>
        </w:rPr>
        <w:t>Comparative politics, Vol. 36, No. 02</w:t>
      </w:r>
    </w:p>
    <w:p w:rsidR="0055607A" w:rsidRPr="008244DC" w:rsidRDefault="0055607A" w:rsidP="0055607A">
      <w:pPr>
        <w:pStyle w:val="ListParagraph"/>
        <w:tabs>
          <w:tab w:val="left" w:pos="993"/>
        </w:tabs>
        <w:jc w:val="both"/>
        <w:rPr>
          <w:rFonts w:ascii="Calibri" w:hAnsi="Calibri" w:cs="Calibri"/>
          <w:color w:val="000000" w:themeColor="text1"/>
          <w:sz w:val="24"/>
          <w:szCs w:val="24"/>
          <w:lang w:val="en-US"/>
        </w:rPr>
      </w:pPr>
    </w:p>
    <w:p w:rsidR="0055607A" w:rsidRPr="008244DC" w:rsidRDefault="0055607A" w:rsidP="0055607A">
      <w:pPr>
        <w:pStyle w:val="ListParagraph"/>
        <w:numPr>
          <w:ilvl w:val="0"/>
          <w:numId w:val="1"/>
        </w:numPr>
        <w:tabs>
          <w:tab w:val="left" w:pos="993"/>
        </w:tabs>
        <w:jc w:val="both"/>
        <w:rPr>
          <w:rFonts w:ascii="Calibri" w:hAnsi="Calibri" w:cs="Calibri"/>
          <w:color w:val="000000" w:themeColor="text1"/>
          <w:sz w:val="24"/>
          <w:szCs w:val="24"/>
          <w:lang w:val="en-US"/>
        </w:rPr>
      </w:pPr>
      <w:r w:rsidRPr="008244DC">
        <w:rPr>
          <w:rFonts w:ascii="Calibri" w:hAnsi="Calibri" w:cs="Calibri"/>
          <w:color w:val="000000" w:themeColor="text1"/>
          <w:sz w:val="24"/>
          <w:szCs w:val="24"/>
          <w:lang w:val="en-US"/>
        </w:rPr>
        <w:t xml:space="preserve">Immigration to Australia roughly began in 1976, when the first boats carrying Indochinese men arrived. Over the next five years there were 2059 Vietnamese boat arrivals. In the first wave of immigration to Australia the majority of asylum seekers were from Indochina. From 1999, increasing amounts of asylum seekers began arriving from the Middle East. The diversification of asylum seekers has greatly increased the numbers of immigrants and refugees entering or attempting enter Australia, placing substantial pressure on the government.  </w:t>
      </w:r>
    </w:p>
    <w:p w:rsidR="0055607A" w:rsidRPr="008244DC" w:rsidRDefault="0055607A" w:rsidP="0055607A">
      <w:pPr>
        <w:pStyle w:val="ListParagraph"/>
        <w:tabs>
          <w:tab w:val="left" w:pos="993"/>
        </w:tabs>
        <w:rPr>
          <w:rFonts w:ascii="Calibri" w:hAnsi="Calibri" w:cs="Calibri"/>
          <w:b/>
          <w:color w:val="000000" w:themeColor="text1"/>
          <w:sz w:val="24"/>
          <w:szCs w:val="24"/>
          <w:lang w:val="en-US"/>
        </w:rPr>
      </w:pPr>
    </w:p>
    <w:p w:rsidR="0055607A" w:rsidRPr="008244DC" w:rsidRDefault="0055607A" w:rsidP="0055607A">
      <w:pPr>
        <w:pStyle w:val="ListParagraph"/>
        <w:tabs>
          <w:tab w:val="left" w:pos="993"/>
        </w:tabs>
        <w:rPr>
          <w:rFonts w:ascii="Calibri" w:hAnsi="Calibri" w:cs="Calibri"/>
          <w:b/>
          <w:color w:val="000000" w:themeColor="text1"/>
          <w:sz w:val="24"/>
          <w:szCs w:val="24"/>
          <w:lang w:val="en-US"/>
        </w:rPr>
      </w:pPr>
      <w:r w:rsidRPr="008244DC">
        <w:rPr>
          <w:rFonts w:ascii="Calibri" w:hAnsi="Calibri" w:cs="Calibri"/>
          <w:b/>
          <w:color w:val="000000" w:themeColor="text1"/>
          <w:sz w:val="24"/>
          <w:szCs w:val="24"/>
          <w:lang w:val="en-US"/>
        </w:rPr>
        <w:t xml:space="preserve">Source: Parliament of Australia. </w:t>
      </w:r>
      <w:proofErr w:type="gramStart"/>
      <w:r w:rsidRPr="008244DC">
        <w:rPr>
          <w:rFonts w:ascii="Calibri" w:hAnsi="Calibri" w:cs="Calibri"/>
          <w:b/>
          <w:i/>
          <w:color w:val="000000" w:themeColor="text1"/>
          <w:sz w:val="24"/>
          <w:szCs w:val="24"/>
          <w:lang w:val="en-US"/>
        </w:rPr>
        <w:t>Boat Arrivals since 1976.</w:t>
      </w:r>
      <w:proofErr w:type="gramEnd"/>
      <w:r w:rsidRPr="008244DC">
        <w:rPr>
          <w:rFonts w:ascii="Calibri" w:hAnsi="Calibri" w:cs="Calibri"/>
          <w:b/>
          <w:i/>
          <w:color w:val="000000" w:themeColor="text1"/>
          <w:sz w:val="24"/>
          <w:szCs w:val="24"/>
          <w:lang w:val="en-US"/>
        </w:rPr>
        <w:t xml:space="preserve"> </w:t>
      </w:r>
      <w:r w:rsidRPr="008244DC">
        <w:rPr>
          <w:rFonts w:ascii="Calibri" w:hAnsi="Calibri" w:cs="Calibri"/>
          <w:b/>
          <w:color w:val="000000" w:themeColor="text1"/>
          <w:sz w:val="24"/>
          <w:szCs w:val="24"/>
          <w:lang w:val="en-US"/>
        </w:rPr>
        <w:t>Available at:</w:t>
      </w:r>
      <w:r w:rsidRPr="008244DC">
        <w:rPr>
          <w:b/>
          <w:sz w:val="24"/>
        </w:rPr>
        <w:t xml:space="preserve"> </w:t>
      </w:r>
      <w:hyperlink r:id="rId10" w:history="1">
        <w:r w:rsidRPr="008244DC">
          <w:rPr>
            <w:rStyle w:val="Hyperlink"/>
            <w:rFonts w:ascii="Calibri" w:hAnsi="Calibri" w:cs="Calibri"/>
            <w:b/>
            <w:color w:val="000000" w:themeColor="text1"/>
            <w:sz w:val="24"/>
            <w:szCs w:val="24"/>
            <w:u w:val="none"/>
            <w:lang w:val="en-US"/>
          </w:rPr>
          <w:t>http://www.aph.gov.au/About_Parliament/Parliamentary_Departments/Parliamentary_Library/pubs/rp/rp1314/BoatArrivals</w:t>
        </w:r>
      </w:hyperlink>
      <w:r w:rsidRPr="008244DC">
        <w:rPr>
          <w:rFonts w:ascii="Calibri" w:hAnsi="Calibri" w:cs="Calibri"/>
          <w:b/>
          <w:color w:val="000000" w:themeColor="text1"/>
          <w:sz w:val="24"/>
          <w:szCs w:val="24"/>
          <w:lang w:val="en-US"/>
        </w:rPr>
        <w:t xml:space="preserve">. </w:t>
      </w:r>
    </w:p>
    <w:p w:rsidR="0055607A" w:rsidRPr="008244DC" w:rsidRDefault="0055607A" w:rsidP="0055607A">
      <w:pPr>
        <w:pStyle w:val="ListParagraph"/>
        <w:jc w:val="both"/>
        <w:rPr>
          <w:rFonts w:ascii="Calibri" w:hAnsi="Calibri" w:cs="Calibri"/>
          <w:color w:val="000000" w:themeColor="text1"/>
          <w:sz w:val="24"/>
          <w:szCs w:val="24"/>
          <w:lang w:val="en-US"/>
        </w:rPr>
      </w:pPr>
    </w:p>
    <w:p w:rsidR="0055607A" w:rsidRPr="008244DC" w:rsidRDefault="0055607A" w:rsidP="0055607A">
      <w:pPr>
        <w:pStyle w:val="ListParagraph"/>
        <w:numPr>
          <w:ilvl w:val="0"/>
          <w:numId w:val="1"/>
        </w:numPr>
        <w:jc w:val="both"/>
        <w:rPr>
          <w:rFonts w:ascii="Calibri" w:hAnsi="Calibri" w:cs="Calibri"/>
          <w:color w:val="000000" w:themeColor="text1"/>
          <w:sz w:val="24"/>
          <w:szCs w:val="24"/>
          <w:lang w:val="en-US"/>
        </w:rPr>
      </w:pPr>
      <w:r w:rsidRPr="008244DC">
        <w:rPr>
          <w:rFonts w:ascii="Calibri" w:hAnsi="Calibri" w:cs="Calibri"/>
          <w:color w:val="000000" w:themeColor="text1"/>
          <w:sz w:val="24"/>
          <w:szCs w:val="24"/>
          <w:lang w:val="en-US"/>
        </w:rPr>
        <w:lastRenderedPageBreak/>
        <w:t xml:space="preserve">Africa’s GDP growth rate in 2013 was 5.7% while Latin America recorded a growth of 3.9%, North Africa and the Middle East, 3.8%, and Asia, 7.9%, Furthermore, Africa accounts for 7 of the 10 fastest growing economies in the world; namely, Ethiopia, Tanzania, Mozambique, Congo-Brazzaville, Ghana, Zambia and Nigeria.  Over the next 5 years, Africa is expected to become the fastest growing region in the world, overtaking Asia. </w:t>
      </w:r>
    </w:p>
    <w:p w:rsidR="0055607A" w:rsidRPr="008244DC" w:rsidRDefault="0055607A" w:rsidP="0055607A">
      <w:pPr>
        <w:ind w:left="720"/>
        <w:jc w:val="both"/>
        <w:rPr>
          <w:rFonts w:ascii="Calibri" w:hAnsi="Calibri" w:cs="Calibri"/>
          <w:b/>
          <w:color w:val="000000" w:themeColor="text1"/>
          <w:sz w:val="24"/>
          <w:szCs w:val="24"/>
          <w:lang w:val="en-US"/>
        </w:rPr>
      </w:pPr>
      <w:r w:rsidRPr="008244DC">
        <w:rPr>
          <w:rFonts w:ascii="Calibri" w:hAnsi="Calibri" w:cs="Calibri"/>
          <w:b/>
          <w:color w:val="000000" w:themeColor="text1"/>
          <w:sz w:val="24"/>
          <w:szCs w:val="24"/>
          <w:lang w:val="en-US"/>
        </w:rPr>
        <w:t xml:space="preserve">Source: The Economist. 2011. </w:t>
      </w:r>
      <w:r w:rsidRPr="008244DC">
        <w:rPr>
          <w:rFonts w:ascii="Calibri" w:hAnsi="Calibri" w:cs="Calibri"/>
          <w:b/>
          <w:i/>
          <w:color w:val="000000" w:themeColor="text1"/>
          <w:sz w:val="24"/>
          <w:szCs w:val="24"/>
          <w:lang w:val="en-US"/>
        </w:rPr>
        <w:t xml:space="preserve">Africa’s Impressive Growth. </w:t>
      </w:r>
      <w:r w:rsidRPr="008244DC">
        <w:rPr>
          <w:rFonts w:ascii="Calibri" w:hAnsi="Calibri" w:cs="Calibri"/>
          <w:b/>
          <w:color w:val="000000" w:themeColor="text1"/>
          <w:sz w:val="24"/>
          <w:szCs w:val="24"/>
          <w:lang w:val="en-US"/>
        </w:rPr>
        <w:t xml:space="preserve">Available at: </w:t>
      </w:r>
      <w:r w:rsidRPr="008244DC">
        <w:rPr>
          <w:rFonts w:ascii="Calibri" w:hAnsi="Calibri" w:cs="Calibri"/>
          <w:b/>
          <w:i/>
          <w:color w:val="000000" w:themeColor="text1"/>
          <w:sz w:val="24"/>
          <w:szCs w:val="24"/>
          <w:lang w:val="en-US"/>
        </w:rPr>
        <w:t xml:space="preserve"> </w:t>
      </w:r>
      <w:hyperlink r:id="rId11" w:history="1">
        <w:r w:rsidRPr="008244DC">
          <w:rPr>
            <w:rStyle w:val="Hyperlink"/>
            <w:rFonts w:ascii="Calibri" w:hAnsi="Calibri" w:cs="Calibri"/>
            <w:b/>
            <w:i/>
            <w:color w:val="000000" w:themeColor="text1"/>
            <w:sz w:val="24"/>
            <w:szCs w:val="24"/>
            <w:u w:val="none"/>
            <w:lang w:val="en-US"/>
          </w:rPr>
          <w:t>http://www.economist.com/blogs/dailychart/2011/01/daily_chart</w:t>
        </w:r>
      </w:hyperlink>
      <w:r w:rsidRPr="008244DC">
        <w:rPr>
          <w:rFonts w:ascii="Calibri" w:hAnsi="Calibri" w:cs="Calibri"/>
          <w:b/>
          <w:i/>
          <w:color w:val="000000" w:themeColor="text1"/>
          <w:sz w:val="24"/>
          <w:szCs w:val="24"/>
          <w:lang w:val="en-US"/>
        </w:rPr>
        <w:t xml:space="preserve">. </w:t>
      </w:r>
    </w:p>
    <w:p w:rsidR="0055607A" w:rsidRPr="008244DC" w:rsidRDefault="0055607A" w:rsidP="00DE2EEF">
      <w:pPr>
        <w:rPr>
          <w:sz w:val="24"/>
        </w:rPr>
      </w:pPr>
    </w:p>
    <w:sectPr w:rsidR="0055607A" w:rsidRPr="008244DC" w:rsidSect="0043294D">
      <w:footerReference w:type="default" r:id="rId12"/>
      <w:pgSz w:w="11906" w:h="16838"/>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88E" w:rsidRDefault="0019688E" w:rsidP="003B0B6B">
      <w:pPr>
        <w:spacing w:after="0" w:line="240" w:lineRule="auto"/>
      </w:pPr>
      <w:r>
        <w:separator/>
      </w:r>
    </w:p>
  </w:endnote>
  <w:endnote w:type="continuationSeparator" w:id="0">
    <w:p w:rsidR="0019688E" w:rsidRDefault="0019688E" w:rsidP="003B0B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445527"/>
      <w:docPartObj>
        <w:docPartGallery w:val="Page Numbers (Bottom of Page)"/>
        <w:docPartUnique/>
      </w:docPartObj>
    </w:sdtPr>
    <w:sdtEndPr>
      <w:rPr>
        <w:noProof/>
      </w:rPr>
    </w:sdtEndPr>
    <w:sdtContent>
      <w:p w:rsidR="00DA2C8B" w:rsidRDefault="00DA2C8B">
        <w:pPr>
          <w:pStyle w:val="Footer"/>
          <w:jc w:val="right"/>
        </w:pPr>
        <w:r>
          <w:fldChar w:fldCharType="begin"/>
        </w:r>
        <w:r>
          <w:instrText xml:space="preserve"> PAGE   \* MERGEFORMAT </w:instrText>
        </w:r>
        <w:r>
          <w:fldChar w:fldCharType="separate"/>
        </w:r>
        <w:r w:rsidR="007328E2">
          <w:rPr>
            <w:noProof/>
          </w:rPr>
          <w:t>5</w:t>
        </w:r>
        <w:r>
          <w:rPr>
            <w:noProof/>
          </w:rPr>
          <w:fldChar w:fldCharType="end"/>
        </w:r>
      </w:p>
    </w:sdtContent>
  </w:sdt>
  <w:p w:rsidR="00DA2C8B" w:rsidRDefault="00DA2C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88E" w:rsidRDefault="0019688E" w:rsidP="003B0B6B">
      <w:pPr>
        <w:spacing w:after="0" w:line="240" w:lineRule="auto"/>
      </w:pPr>
      <w:r>
        <w:separator/>
      </w:r>
    </w:p>
  </w:footnote>
  <w:footnote w:type="continuationSeparator" w:id="0">
    <w:p w:rsidR="0019688E" w:rsidRDefault="0019688E" w:rsidP="003B0B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C5EBB"/>
    <w:multiLevelType w:val="hybridMultilevel"/>
    <w:tmpl w:val="C794FD2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54558EC"/>
    <w:multiLevelType w:val="hybridMultilevel"/>
    <w:tmpl w:val="E4AAE25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10DA3000"/>
    <w:multiLevelType w:val="hybridMultilevel"/>
    <w:tmpl w:val="603C7A28"/>
    <w:lvl w:ilvl="0" w:tplc="6FC6662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D450FAC"/>
    <w:multiLevelType w:val="hybridMultilevel"/>
    <w:tmpl w:val="123CD3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1D23D14"/>
    <w:multiLevelType w:val="hybridMultilevel"/>
    <w:tmpl w:val="13587D5C"/>
    <w:lvl w:ilvl="0" w:tplc="1C09000F">
      <w:start w:val="1"/>
      <w:numFmt w:val="decimal"/>
      <w:lvlText w:val="%1."/>
      <w:lvlJc w:val="left"/>
      <w:pPr>
        <w:ind w:left="720" w:hanging="360"/>
      </w:pPr>
      <w:rPr>
        <w:rFonts w:hint="default"/>
        <w:i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297520A4"/>
    <w:multiLevelType w:val="hybridMultilevel"/>
    <w:tmpl w:val="BF2CA5E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1D73345"/>
    <w:multiLevelType w:val="hybridMultilevel"/>
    <w:tmpl w:val="718A5174"/>
    <w:lvl w:ilvl="0" w:tplc="C08C76D6">
      <w:start w:val="1"/>
      <w:numFmt w:val="lowerLetter"/>
      <w:lvlText w:val="%1."/>
      <w:lvlJc w:val="left"/>
      <w:pPr>
        <w:ind w:left="720" w:hanging="360"/>
      </w:pPr>
      <w:rPr>
        <w:rFonts w:eastAsia="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4AF42CDB"/>
    <w:multiLevelType w:val="hybridMultilevel"/>
    <w:tmpl w:val="1C6CB19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B8C37DD"/>
    <w:multiLevelType w:val="hybridMultilevel"/>
    <w:tmpl w:val="DB7223D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C884994"/>
    <w:multiLevelType w:val="hybridMultilevel"/>
    <w:tmpl w:val="3DFE84B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5"/>
  </w:num>
  <w:num w:numId="3">
    <w:abstractNumId w:val="3"/>
  </w:num>
  <w:num w:numId="4">
    <w:abstractNumId w:val="9"/>
  </w:num>
  <w:num w:numId="5">
    <w:abstractNumId w:val="8"/>
  </w:num>
  <w:num w:numId="6">
    <w:abstractNumId w:val="7"/>
  </w:num>
  <w:num w:numId="7">
    <w:abstractNumId w:val="2"/>
  </w:num>
  <w:num w:numId="8">
    <w:abstractNumId w:val="1"/>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CDC"/>
    <w:rsid w:val="00082F7D"/>
    <w:rsid w:val="00091426"/>
    <w:rsid w:val="00174287"/>
    <w:rsid w:val="0019688E"/>
    <w:rsid w:val="001E6F8B"/>
    <w:rsid w:val="001E7C76"/>
    <w:rsid w:val="0023647F"/>
    <w:rsid w:val="00255702"/>
    <w:rsid w:val="00293A92"/>
    <w:rsid w:val="0030709A"/>
    <w:rsid w:val="00330C1D"/>
    <w:rsid w:val="0034500B"/>
    <w:rsid w:val="0036299A"/>
    <w:rsid w:val="003A764C"/>
    <w:rsid w:val="003B03C9"/>
    <w:rsid w:val="003B0B6B"/>
    <w:rsid w:val="003D3B59"/>
    <w:rsid w:val="0040754C"/>
    <w:rsid w:val="00423483"/>
    <w:rsid w:val="0043294D"/>
    <w:rsid w:val="0044682D"/>
    <w:rsid w:val="00484028"/>
    <w:rsid w:val="00484BC4"/>
    <w:rsid w:val="00520B7C"/>
    <w:rsid w:val="00536BE7"/>
    <w:rsid w:val="0055607A"/>
    <w:rsid w:val="00580C96"/>
    <w:rsid w:val="005B412E"/>
    <w:rsid w:val="00636930"/>
    <w:rsid w:val="00636C88"/>
    <w:rsid w:val="006C04EE"/>
    <w:rsid w:val="006D20E6"/>
    <w:rsid w:val="00700E68"/>
    <w:rsid w:val="007328E2"/>
    <w:rsid w:val="007428EF"/>
    <w:rsid w:val="0075768C"/>
    <w:rsid w:val="00765D97"/>
    <w:rsid w:val="0077506E"/>
    <w:rsid w:val="007B2A80"/>
    <w:rsid w:val="007F6C0B"/>
    <w:rsid w:val="008244DC"/>
    <w:rsid w:val="0086311F"/>
    <w:rsid w:val="00890CDF"/>
    <w:rsid w:val="00892733"/>
    <w:rsid w:val="008A7FB6"/>
    <w:rsid w:val="00944AF0"/>
    <w:rsid w:val="009C1674"/>
    <w:rsid w:val="009D697D"/>
    <w:rsid w:val="00A16861"/>
    <w:rsid w:val="00A31F06"/>
    <w:rsid w:val="00A43EF9"/>
    <w:rsid w:val="00A95F06"/>
    <w:rsid w:val="00AA6205"/>
    <w:rsid w:val="00B0518D"/>
    <w:rsid w:val="00B25792"/>
    <w:rsid w:val="00B36091"/>
    <w:rsid w:val="00B42A04"/>
    <w:rsid w:val="00B85404"/>
    <w:rsid w:val="00B87288"/>
    <w:rsid w:val="00B9383B"/>
    <w:rsid w:val="00BC0593"/>
    <w:rsid w:val="00BC2B40"/>
    <w:rsid w:val="00BE1CDC"/>
    <w:rsid w:val="00BE3A87"/>
    <w:rsid w:val="00BF4273"/>
    <w:rsid w:val="00C210CA"/>
    <w:rsid w:val="00C22689"/>
    <w:rsid w:val="00C425B1"/>
    <w:rsid w:val="00C64B58"/>
    <w:rsid w:val="00C67B7C"/>
    <w:rsid w:val="00C76A29"/>
    <w:rsid w:val="00C92BB0"/>
    <w:rsid w:val="00CB49EC"/>
    <w:rsid w:val="00CD3D01"/>
    <w:rsid w:val="00D16132"/>
    <w:rsid w:val="00D45C54"/>
    <w:rsid w:val="00DA2C8B"/>
    <w:rsid w:val="00DC7EB0"/>
    <w:rsid w:val="00DD5434"/>
    <w:rsid w:val="00DE2EEF"/>
    <w:rsid w:val="00E067A9"/>
    <w:rsid w:val="00E631BB"/>
    <w:rsid w:val="00E642CB"/>
    <w:rsid w:val="00EA2D35"/>
    <w:rsid w:val="00EE0E83"/>
    <w:rsid w:val="00F1084D"/>
    <w:rsid w:val="00F479FA"/>
    <w:rsid w:val="00F91A24"/>
    <w:rsid w:val="00FE1D78"/>
    <w:rsid w:val="00FF69E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2733"/>
    <w:pPr>
      <w:ind w:left="720"/>
      <w:contextualSpacing/>
    </w:pPr>
  </w:style>
  <w:style w:type="character" w:styleId="Hyperlink">
    <w:name w:val="Hyperlink"/>
    <w:basedOn w:val="DefaultParagraphFont"/>
    <w:uiPriority w:val="99"/>
    <w:unhideWhenUsed/>
    <w:rsid w:val="00F91A24"/>
    <w:rPr>
      <w:color w:val="0000FF" w:themeColor="hyperlink"/>
      <w:u w:val="single"/>
    </w:rPr>
  </w:style>
  <w:style w:type="table" w:styleId="TableGrid">
    <w:name w:val="Table Grid"/>
    <w:basedOn w:val="TableNormal"/>
    <w:uiPriority w:val="59"/>
    <w:rsid w:val="0055607A"/>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3B0B6B"/>
    <w:pPr>
      <w:spacing w:after="0" w:line="240" w:lineRule="auto"/>
    </w:pPr>
    <w:rPr>
      <w:rFonts w:ascii="Calibri" w:eastAsia="Calibri" w:hAnsi="Calibri" w:cs="Times New Roman"/>
      <w:sz w:val="20"/>
      <w:szCs w:val="20"/>
      <w:lang w:val="en-GB"/>
    </w:rPr>
  </w:style>
  <w:style w:type="character" w:customStyle="1" w:styleId="FootnoteTextChar">
    <w:name w:val="Footnote Text Char"/>
    <w:basedOn w:val="DefaultParagraphFont"/>
    <w:link w:val="FootnoteText"/>
    <w:uiPriority w:val="99"/>
    <w:rsid w:val="003B0B6B"/>
    <w:rPr>
      <w:rFonts w:ascii="Calibri" w:eastAsia="Calibri" w:hAnsi="Calibri" w:cs="Times New Roman"/>
      <w:sz w:val="20"/>
      <w:szCs w:val="20"/>
      <w:lang w:val="en-GB"/>
    </w:rPr>
  </w:style>
  <w:style w:type="character" w:styleId="FootnoteReference">
    <w:name w:val="footnote reference"/>
    <w:uiPriority w:val="99"/>
    <w:unhideWhenUsed/>
    <w:rsid w:val="003B0B6B"/>
    <w:rPr>
      <w:vertAlign w:val="superscript"/>
    </w:rPr>
  </w:style>
  <w:style w:type="paragraph" w:styleId="Header">
    <w:name w:val="header"/>
    <w:basedOn w:val="Normal"/>
    <w:link w:val="HeaderChar"/>
    <w:uiPriority w:val="99"/>
    <w:unhideWhenUsed/>
    <w:rsid w:val="00DA2C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2C8B"/>
  </w:style>
  <w:style w:type="paragraph" w:styleId="Footer">
    <w:name w:val="footer"/>
    <w:basedOn w:val="Normal"/>
    <w:link w:val="FooterChar"/>
    <w:uiPriority w:val="99"/>
    <w:unhideWhenUsed/>
    <w:rsid w:val="00DA2C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2C8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2733"/>
    <w:pPr>
      <w:ind w:left="720"/>
      <w:contextualSpacing/>
    </w:pPr>
  </w:style>
  <w:style w:type="character" w:styleId="Hyperlink">
    <w:name w:val="Hyperlink"/>
    <w:basedOn w:val="DefaultParagraphFont"/>
    <w:uiPriority w:val="99"/>
    <w:unhideWhenUsed/>
    <w:rsid w:val="00F91A24"/>
    <w:rPr>
      <w:color w:val="0000FF" w:themeColor="hyperlink"/>
      <w:u w:val="single"/>
    </w:rPr>
  </w:style>
  <w:style w:type="table" w:styleId="TableGrid">
    <w:name w:val="Table Grid"/>
    <w:basedOn w:val="TableNormal"/>
    <w:uiPriority w:val="59"/>
    <w:rsid w:val="0055607A"/>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3B0B6B"/>
    <w:pPr>
      <w:spacing w:after="0" w:line="240" w:lineRule="auto"/>
    </w:pPr>
    <w:rPr>
      <w:rFonts w:ascii="Calibri" w:eastAsia="Calibri" w:hAnsi="Calibri" w:cs="Times New Roman"/>
      <w:sz w:val="20"/>
      <w:szCs w:val="20"/>
      <w:lang w:val="en-GB"/>
    </w:rPr>
  </w:style>
  <w:style w:type="character" w:customStyle="1" w:styleId="FootnoteTextChar">
    <w:name w:val="Footnote Text Char"/>
    <w:basedOn w:val="DefaultParagraphFont"/>
    <w:link w:val="FootnoteText"/>
    <w:uiPriority w:val="99"/>
    <w:rsid w:val="003B0B6B"/>
    <w:rPr>
      <w:rFonts w:ascii="Calibri" w:eastAsia="Calibri" w:hAnsi="Calibri" w:cs="Times New Roman"/>
      <w:sz w:val="20"/>
      <w:szCs w:val="20"/>
      <w:lang w:val="en-GB"/>
    </w:rPr>
  </w:style>
  <w:style w:type="character" w:styleId="FootnoteReference">
    <w:name w:val="footnote reference"/>
    <w:uiPriority w:val="99"/>
    <w:unhideWhenUsed/>
    <w:rsid w:val="003B0B6B"/>
    <w:rPr>
      <w:vertAlign w:val="superscript"/>
    </w:rPr>
  </w:style>
  <w:style w:type="paragraph" w:styleId="Header">
    <w:name w:val="header"/>
    <w:basedOn w:val="Normal"/>
    <w:link w:val="HeaderChar"/>
    <w:uiPriority w:val="99"/>
    <w:unhideWhenUsed/>
    <w:rsid w:val="00DA2C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2C8B"/>
  </w:style>
  <w:style w:type="paragraph" w:styleId="Footer">
    <w:name w:val="footer"/>
    <w:basedOn w:val="Normal"/>
    <w:link w:val="FooterChar"/>
    <w:uiPriority w:val="99"/>
    <w:unhideWhenUsed/>
    <w:rsid w:val="00DA2C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2C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ist.com/blogs/dailychart/2011/01/daily_chart" TargetMode="External"/><Relationship Id="rId5" Type="http://schemas.openxmlformats.org/officeDocument/2006/relationships/webSettings" Target="webSettings.xml"/><Relationship Id="rId10" Type="http://schemas.openxmlformats.org/officeDocument/2006/relationships/hyperlink" Target="http://www.aph.gov.au/About_Parliament/Parliamentary_Departments/Parliamentary_Library/pubs/rp/rp1314/BoatArrivals" TargetMode="External"/><Relationship Id="rId4" Type="http://schemas.openxmlformats.org/officeDocument/2006/relationships/settings" Target="settings.xml"/><Relationship Id="rId9" Type="http://schemas.openxmlformats.org/officeDocument/2006/relationships/hyperlink" Target="http://studywell.library.qut.edu.au/pdf_files/WRITING_WritingStructureOverview.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5</Pages>
  <Words>1262</Words>
  <Characters>7194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dgmoody</dc:creator>
  <cp:keywords/>
  <dc:description/>
  <cp:lastModifiedBy>dgmoody</cp:lastModifiedBy>
  <cp:revision>106</cp:revision>
  <dcterms:created xsi:type="dcterms:W3CDTF">2014-07-01T11:12:00Z</dcterms:created>
  <dcterms:modified xsi:type="dcterms:W3CDTF">2015-01-20T19:39:00Z</dcterms:modified>
</cp:coreProperties>
</file>